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E50DF6" w14:textId="77777777" w:rsidR="00B001F1" w:rsidRDefault="00B001F1" w:rsidP="00B001F1">
      <w:pPr>
        <w:pStyle w:val="NormalWeb"/>
        <w:spacing w:before="0" w:beforeAutospacing="0" w:after="0" w:afterAutospacing="0"/>
        <w:rPr>
          <w:color w:val="0E101A"/>
        </w:rPr>
      </w:pPr>
      <w:r>
        <w:rPr>
          <w:color w:val="0E101A"/>
        </w:rPr>
        <w:t>Hello Marcus,</w:t>
      </w:r>
    </w:p>
    <w:p w14:paraId="005562A6" w14:textId="3CA99BD1" w:rsidR="00B001F1" w:rsidRDefault="00B001F1" w:rsidP="00B001F1">
      <w:pPr>
        <w:pStyle w:val="NormalWeb"/>
        <w:spacing w:before="0" w:beforeAutospacing="0" w:after="0" w:afterAutospacing="0"/>
        <w:rPr>
          <w:color w:val="0E101A"/>
        </w:rPr>
      </w:pPr>
      <w:r>
        <w:rPr>
          <w:color w:val="0E101A"/>
        </w:rPr>
        <w:t>I enjoyed reading your post. Thanks as well for the wonderful illustration you have shared. It appropriately brings the point home. My prayer is that we shall continue to ask God to give us his eyes so that we can see how he sees. Erickson briefly considers three points that indicate that the identification of evil with the unpleasant is incorrect. I see that you clearly articulated the question of the extent of the evil. To add, I think another way we can reevaluate what constitutes evil is by looking at the divine dimension. Erickson says, “Good is not defined in terms of what brings personal pleasure to humans in a direct fashion. Good is to be defined in relationship to the will and being of God.”</w:t>
      </w:r>
      <w:r w:rsidR="00512F3C" w:rsidRPr="00512F3C">
        <w:rPr>
          <w:rStyle w:val="FootnoteReference"/>
        </w:rPr>
        <w:t xml:space="preserve"> </w:t>
      </w:r>
      <w:r w:rsidR="00512F3C">
        <w:rPr>
          <w:rStyle w:val="FootnoteReference"/>
        </w:rPr>
        <w:footnoteReference w:id="1"/>
      </w:r>
      <w:r>
        <w:rPr>
          <w:color w:val="0E101A"/>
        </w:rPr>
        <w:t> In a nutshell, we must consider God’s superior knowledge and wisdom.</w:t>
      </w:r>
      <w:r w:rsidR="00512F3C" w:rsidRPr="00512F3C">
        <w:rPr>
          <w:rStyle w:val="FootnoteReference"/>
        </w:rPr>
        <w:t xml:space="preserve"> </w:t>
      </w:r>
      <w:r w:rsidR="00512F3C">
        <w:rPr>
          <w:rStyle w:val="FootnoteReference"/>
        </w:rPr>
        <w:footnoteReference w:id="2"/>
      </w:r>
      <w:r>
        <w:rPr>
          <w:color w:val="0E101A"/>
        </w:rPr>
        <w:t> God knows what he is doing. He is right. To question him is to insult him.</w:t>
      </w:r>
    </w:p>
    <w:p w14:paraId="66B62A55" w14:textId="1D748FD9" w:rsidR="00B001F1" w:rsidRDefault="00B001F1" w:rsidP="00B001F1">
      <w:pPr>
        <w:pStyle w:val="NormalWeb"/>
        <w:spacing w:before="0" w:beforeAutospacing="0" w:after="0" w:afterAutospacing="0"/>
        <w:rPr>
          <w:color w:val="0E101A"/>
        </w:rPr>
      </w:pPr>
      <w:r>
        <w:rPr>
          <w:color w:val="0E101A"/>
        </w:rPr>
        <w:t>Your illustration also perfectly described the second dimension of time and duration. Though your wife’s friend might not have known God’s intention for the accident that had happened to her, much later, she discovered that it was for her good. The accident resulted in checkups that revealed she was ailing from cancer. Like her, Christians also will find it beneficial to look at the sufferings and pain they go through in the spectrum of time. Erickson observes, “Scripture encourages us to evaluate our temporary suffering </w:t>
      </w:r>
      <w:r>
        <w:rPr>
          <w:rStyle w:val="Emphasis"/>
          <w:color w:val="0E101A"/>
        </w:rPr>
        <w:t>sub specie aeternitatis</w:t>
      </w:r>
      <w:r>
        <w:rPr>
          <w:color w:val="0E101A"/>
        </w:rPr>
        <w:t> (in the light of eternity).”</w:t>
      </w:r>
      <w:r w:rsidR="00512F3C">
        <w:rPr>
          <w:rStyle w:val="FootnoteReference"/>
        </w:rPr>
        <w:footnoteReference w:id="3"/>
      </w:r>
    </w:p>
    <w:p w14:paraId="06DDC1C4" w14:textId="159BBCC6" w:rsidR="002129EC" w:rsidRDefault="002129EC" w:rsidP="00512F3C"/>
    <w:p w14:paraId="12A5C569" w14:textId="7C92F993" w:rsidR="002129EC" w:rsidRDefault="002129EC" w:rsidP="002129EC">
      <w:pPr>
        <w:jc w:val="center"/>
      </w:pPr>
    </w:p>
    <w:p w14:paraId="2D7D7197" w14:textId="41F0C045" w:rsidR="002129EC" w:rsidRPr="00B050EA" w:rsidRDefault="002129EC" w:rsidP="002129EC">
      <w:pPr>
        <w:jc w:val="center"/>
        <w:rPr>
          <w:b/>
          <w:bCs/>
        </w:rPr>
      </w:pPr>
      <w:r w:rsidRPr="00B050EA">
        <w:rPr>
          <w:b/>
          <w:bCs/>
        </w:rPr>
        <w:t>Bibliography</w:t>
      </w:r>
    </w:p>
    <w:p w14:paraId="4C0CFE18" w14:textId="53B6AD61" w:rsidR="002129EC" w:rsidRPr="002129EC" w:rsidRDefault="002129EC" w:rsidP="002129EC">
      <w:pPr>
        <w:jc w:val="center"/>
      </w:pPr>
      <w:r w:rsidRPr="00C70F76">
        <w:rPr>
          <w:rFonts w:ascii="Times New Roman" w:hAnsi="Times New Roman" w:cs="Times New Roman"/>
          <w:color w:val="0E101A"/>
          <w:sz w:val="24"/>
          <w:szCs w:val="24"/>
        </w:rPr>
        <w:t xml:space="preserve">Erickson, Millard J. </w:t>
      </w:r>
      <w:r w:rsidRPr="00C70F76">
        <w:rPr>
          <w:rStyle w:val="Emphasis"/>
          <w:rFonts w:ascii="Times New Roman" w:hAnsi="Times New Roman" w:cs="Times New Roman"/>
          <w:color w:val="0E101A"/>
          <w:sz w:val="24"/>
          <w:szCs w:val="24"/>
        </w:rPr>
        <w:t>Christian Theology</w:t>
      </w:r>
      <w:r w:rsidRPr="00C70F76">
        <w:rPr>
          <w:rFonts w:ascii="Times New Roman" w:hAnsi="Times New Roman" w:cs="Times New Roman"/>
          <w:color w:val="0E101A"/>
          <w:sz w:val="24"/>
          <w:szCs w:val="24"/>
        </w:rPr>
        <w:t>. 3rd ed. Grand Rapids: Baker Academic, 2015.</w:t>
      </w:r>
    </w:p>
    <w:sectPr w:rsidR="002129EC" w:rsidRPr="002129E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579869" w14:textId="77777777" w:rsidR="0009660F" w:rsidRDefault="0009660F" w:rsidP="002129EC">
      <w:pPr>
        <w:spacing w:after="0" w:line="240" w:lineRule="auto"/>
      </w:pPr>
      <w:r>
        <w:separator/>
      </w:r>
    </w:p>
  </w:endnote>
  <w:endnote w:type="continuationSeparator" w:id="0">
    <w:p w14:paraId="398E5068" w14:textId="77777777" w:rsidR="0009660F" w:rsidRDefault="0009660F" w:rsidP="002129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E3C80E" w14:textId="77777777" w:rsidR="0009660F" w:rsidRDefault="0009660F" w:rsidP="002129EC">
      <w:pPr>
        <w:spacing w:after="0" w:line="240" w:lineRule="auto"/>
      </w:pPr>
      <w:r>
        <w:separator/>
      </w:r>
    </w:p>
  </w:footnote>
  <w:footnote w:type="continuationSeparator" w:id="0">
    <w:p w14:paraId="00F068F0" w14:textId="77777777" w:rsidR="0009660F" w:rsidRDefault="0009660F" w:rsidP="002129EC">
      <w:pPr>
        <w:spacing w:after="0" w:line="240" w:lineRule="auto"/>
      </w:pPr>
      <w:r>
        <w:continuationSeparator/>
      </w:r>
    </w:p>
  </w:footnote>
  <w:footnote w:id="1">
    <w:p w14:paraId="1EA009CE" w14:textId="77777777" w:rsidR="00512F3C" w:rsidRDefault="00512F3C" w:rsidP="00512F3C">
      <w:pPr>
        <w:pStyle w:val="FootnoteText"/>
        <w:spacing w:before="240"/>
        <w:ind w:firstLine="720"/>
      </w:pPr>
      <w:r>
        <w:rPr>
          <w:rStyle w:val="FootnoteReference"/>
        </w:rPr>
        <w:footnoteRef/>
      </w:r>
      <w:r>
        <w:t xml:space="preserve"> </w:t>
      </w:r>
      <w:r w:rsidRPr="005E6FF1">
        <w:rPr>
          <w:rFonts w:ascii="Times New Roman" w:hAnsi="Times New Roman" w:cs="Times New Roman"/>
          <w:color w:val="0E101A"/>
        </w:rPr>
        <w:t>Millard J. Erickson, </w:t>
      </w:r>
      <w:r w:rsidRPr="005E6FF1">
        <w:rPr>
          <w:rStyle w:val="Emphasis"/>
          <w:rFonts w:ascii="Times New Roman" w:hAnsi="Times New Roman" w:cs="Times New Roman"/>
          <w:color w:val="0E101A"/>
        </w:rPr>
        <w:t>Christian Theology</w:t>
      </w:r>
      <w:r w:rsidRPr="005E6FF1">
        <w:rPr>
          <w:rFonts w:ascii="Times New Roman" w:hAnsi="Times New Roman" w:cs="Times New Roman"/>
          <w:color w:val="0E101A"/>
        </w:rPr>
        <w:t xml:space="preserve">. 3rd ed. (Grand Rapids: Baker Academic, 2015), </w:t>
      </w:r>
      <w:r>
        <w:rPr>
          <w:rFonts w:ascii="Times New Roman" w:hAnsi="Times New Roman" w:cs="Times New Roman"/>
          <w:color w:val="0E101A"/>
        </w:rPr>
        <w:t>396.</w:t>
      </w:r>
    </w:p>
  </w:footnote>
  <w:footnote w:id="2">
    <w:p w14:paraId="27CA0EB4" w14:textId="77777777" w:rsidR="00512F3C" w:rsidRDefault="00512F3C" w:rsidP="00512F3C">
      <w:pPr>
        <w:pStyle w:val="FootnoteText"/>
        <w:spacing w:before="240"/>
        <w:ind w:firstLine="720"/>
      </w:pPr>
      <w:r>
        <w:rPr>
          <w:rStyle w:val="FootnoteReference"/>
        </w:rPr>
        <w:footnoteRef/>
      </w:r>
      <w:r>
        <w:t xml:space="preserve"> </w:t>
      </w:r>
      <w:bookmarkStart w:id="0" w:name="_Hlk69656996"/>
      <w:r>
        <w:rPr>
          <w:rFonts w:ascii="Times New Roman" w:hAnsi="Times New Roman" w:cs="Times New Roman"/>
          <w:color w:val="0E101A"/>
        </w:rPr>
        <w:t>Ibid.,</w:t>
      </w:r>
      <w:r w:rsidRPr="005E6FF1">
        <w:rPr>
          <w:rFonts w:ascii="Times New Roman" w:hAnsi="Times New Roman" w:cs="Times New Roman"/>
          <w:color w:val="0E101A"/>
        </w:rPr>
        <w:t xml:space="preserve"> </w:t>
      </w:r>
      <w:bookmarkEnd w:id="0"/>
      <w:r>
        <w:rPr>
          <w:rFonts w:ascii="Times New Roman" w:hAnsi="Times New Roman" w:cs="Times New Roman"/>
          <w:color w:val="0E101A"/>
        </w:rPr>
        <w:t>396.</w:t>
      </w:r>
    </w:p>
  </w:footnote>
  <w:footnote w:id="3">
    <w:p w14:paraId="7E88CD85" w14:textId="77777777" w:rsidR="00512F3C" w:rsidRDefault="00512F3C" w:rsidP="00512F3C">
      <w:pPr>
        <w:pStyle w:val="FootnoteText"/>
        <w:spacing w:before="240"/>
        <w:ind w:firstLine="720"/>
      </w:pPr>
      <w:r>
        <w:rPr>
          <w:rStyle w:val="FootnoteReference"/>
        </w:rPr>
        <w:footnoteRef/>
      </w:r>
      <w:r>
        <w:t xml:space="preserve"> Ibid., 397.</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36C"/>
    <w:rsid w:val="0009660F"/>
    <w:rsid w:val="002129EC"/>
    <w:rsid w:val="00512F3C"/>
    <w:rsid w:val="00545A2F"/>
    <w:rsid w:val="005B636C"/>
    <w:rsid w:val="006E494A"/>
    <w:rsid w:val="00920DAC"/>
    <w:rsid w:val="00B001F1"/>
    <w:rsid w:val="00B050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D06DD"/>
  <w15:chartTrackingRefBased/>
  <w15:docId w15:val="{F5A82112-2151-4C38-B18D-EBA3070F9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2129E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129EC"/>
    <w:rPr>
      <w:sz w:val="20"/>
      <w:szCs w:val="20"/>
    </w:rPr>
  </w:style>
  <w:style w:type="character" w:styleId="FootnoteReference">
    <w:name w:val="footnote reference"/>
    <w:basedOn w:val="DefaultParagraphFont"/>
    <w:uiPriority w:val="99"/>
    <w:semiHidden/>
    <w:unhideWhenUsed/>
    <w:rsid w:val="002129EC"/>
    <w:rPr>
      <w:vertAlign w:val="superscript"/>
    </w:rPr>
  </w:style>
  <w:style w:type="character" w:styleId="Emphasis">
    <w:name w:val="Emphasis"/>
    <w:basedOn w:val="DefaultParagraphFont"/>
    <w:uiPriority w:val="20"/>
    <w:qFormat/>
    <w:rsid w:val="002129EC"/>
    <w:rPr>
      <w:i/>
      <w:iCs/>
    </w:rPr>
  </w:style>
  <w:style w:type="paragraph" w:styleId="NormalWeb">
    <w:name w:val="Normal (Web)"/>
    <w:basedOn w:val="Normal"/>
    <w:uiPriority w:val="99"/>
    <w:semiHidden/>
    <w:unhideWhenUsed/>
    <w:rsid w:val="00B001F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001F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6892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F13FC50-456D-4F46-BD42-B55856D088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231</Words>
  <Characters>1323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3</cp:revision>
  <dcterms:created xsi:type="dcterms:W3CDTF">2021-05-02T20:44:00Z</dcterms:created>
  <dcterms:modified xsi:type="dcterms:W3CDTF">2021-05-02T21:35:00Z</dcterms:modified>
</cp:coreProperties>
</file>