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5918" w14:textId="4496DF10" w:rsidR="007302AF" w:rsidRDefault="00237C15">
      <w:r>
        <w:t>Amanda,</w:t>
      </w:r>
    </w:p>
    <w:p w14:paraId="53E8F3D4" w14:textId="6B97FCD8" w:rsidR="00237C15" w:rsidRDefault="004B5D8A">
      <w:r w:rsidRPr="004B5D8A">
        <w:t>I find Erickson’s alternative model plausible.  I think in our world today, finding balance is very critical. Most of the heretical movements today are a result of embracing extremes at the expense of the other. The ideal situation should be to merge faith and reason so that there is no dichotomy. The reason Erickson notes is that these two are complementary and harmonious means by which God manifests himself.</w:t>
      </w:r>
      <w:r w:rsidRPr="004B5D8A">
        <w:rPr>
          <w:rStyle w:val="FootnoteReference"/>
        </w:rPr>
        <w:t xml:space="preserve"> </w:t>
      </w:r>
      <w:r>
        <w:rPr>
          <w:rStyle w:val="FootnoteReference"/>
        </w:rPr>
        <w:footnoteReference w:id="1"/>
      </w:r>
      <w:r>
        <w:t xml:space="preserve"> It would be detrimental to choose one over the other.</w:t>
      </w:r>
    </w:p>
    <w:p w14:paraId="035988A2" w14:textId="5ACFED06" w:rsidR="00F2413F" w:rsidRDefault="00F2413F"/>
    <w:p w14:paraId="75C4F4F7" w14:textId="092FF1FD" w:rsidR="00F2413F" w:rsidRDefault="00F2413F">
      <w:r>
        <w:t>Bibliography</w:t>
      </w:r>
    </w:p>
    <w:p w14:paraId="6A0D6D41" w14:textId="77777777" w:rsidR="00F2413F" w:rsidRDefault="00F2413F" w:rsidP="00F2413F">
      <w:pPr>
        <w:spacing w:before="240"/>
      </w:pPr>
      <w:r>
        <w:rPr>
          <w:rFonts w:ascii="Roboto" w:hAnsi="Roboto"/>
          <w:color w:val="212529"/>
          <w:shd w:val="clear" w:color="auto" w:fill="FFFFFF"/>
        </w:rPr>
        <w:t>Erickson, Millard J. </w:t>
      </w:r>
      <w:r>
        <w:rPr>
          <w:rStyle w:val="Emphasis"/>
          <w:rFonts w:ascii="Roboto" w:hAnsi="Roboto"/>
          <w:color w:val="212529"/>
          <w:shd w:val="clear" w:color="auto" w:fill="FFFFFF"/>
        </w:rPr>
        <w:t>Christian Theology</w:t>
      </w:r>
      <w:r>
        <w:rPr>
          <w:rFonts w:ascii="Roboto" w:hAnsi="Roboto"/>
          <w:color w:val="212529"/>
          <w:shd w:val="clear" w:color="auto" w:fill="FFFFFF"/>
        </w:rPr>
        <w:t>. 3rd ed. Grand Rapids: Baker Academic, 2013.</w:t>
      </w:r>
    </w:p>
    <w:p w14:paraId="0F63284B" w14:textId="3A6B24C7" w:rsidR="00F2413F" w:rsidRDefault="00F2413F"/>
    <w:sectPr w:rsidR="00F241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76244" w14:textId="77777777" w:rsidR="003A3D3A" w:rsidRDefault="003A3D3A" w:rsidP="00F2413F">
      <w:pPr>
        <w:spacing w:after="0" w:line="240" w:lineRule="auto"/>
      </w:pPr>
      <w:r>
        <w:separator/>
      </w:r>
    </w:p>
  </w:endnote>
  <w:endnote w:type="continuationSeparator" w:id="0">
    <w:p w14:paraId="47AB7571" w14:textId="77777777" w:rsidR="003A3D3A" w:rsidRDefault="003A3D3A" w:rsidP="00F24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25C4F4" w14:textId="77777777" w:rsidR="003A3D3A" w:rsidRDefault="003A3D3A" w:rsidP="00F2413F">
      <w:pPr>
        <w:spacing w:after="0" w:line="240" w:lineRule="auto"/>
      </w:pPr>
      <w:r>
        <w:separator/>
      </w:r>
    </w:p>
  </w:footnote>
  <w:footnote w:type="continuationSeparator" w:id="0">
    <w:p w14:paraId="619FAC90" w14:textId="77777777" w:rsidR="003A3D3A" w:rsidRDefault="003A3D3A" w:rsidP="00F2413F">
      <w:pPr>
        <w:spacing w:after="0" w:line="240" w:lineRule="auto"/>
      </w:pPr>
      <w:r>
        <w:continuationSeparator/>
      </w:r>
    </w:p>
  </w:footnote>
  <w:footnote w:id="1">
    <w:p w14:paraId="6F5E150A" w14:textId="69DF9B43" w:rsidR="004B5D8A" w:rsidRDefault="004B5D8A" w:rsidP="004B5D8A">
      <w:pPr>
        <w:pStyle w:val="FootnoteText"/>
      </w:pPr>
      <w:r>
        <w:rPr>
          <w:rStyle w:val="FootnoteReference"/>
        </w:rPr>
        <w:footnoteRef/>
      </w:r>
      <w:r>
        <w:t xml:space="preserve"> </w:t>
      </w:r>
      <w:r w:rsidRPr="00392EAF">
        <w:t xml:space="preserve">Millard J. Erickson, </w:t>
      </w:r>
      <w:r w:rsidRPr="00392EAF">
        <w:rPr>
          <w:i/>
          <w:iCs/>
        </w:rPr>
        <w:t>Christian Theology</w:t>
      </w:r>
      <w:r w:rsidRPr="00392EAF">
        <w:t xml:space="preserve">. 3rd ed. </w:t>
      </w:r>
      <w:r>
        <w:t>(</w:t>
      </w:r>
      <w:r w:rsidRPr="00392EAF">
        <w:t>Grand Rapids: Baker Academic, 2013</w:t>
      </w:r>
      <w:r>
        <w:t>), 61</w:t>
      </w:r>
      <w:r>
        <w:t>8</w:t>
      </w:r>
      <w:r>
        <w:t>.</w:t>
      </w:r>
    </w:p>
    <w:p w14:paraId="075A00D8" w14:textId="77777777" w:rsidR="004B5D8A" w:rsidRDefault="004B5D8A" w:rsidP="004B5D8A">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C15"/>
    <w:rsid w:val="00237C15"/>
    <w:rsid w:val="002904E1"/>
    <w:rsid w:val="003A3D3A"/>
    <w:rsid w:val="00405E7F"/>
    <w:rsid w:val="004B5D8A"/>
    <w:rsid w:val="007302AF"/>
    <w:rsid w:val="0097045A"/>
    <w:rsid w:val="00E9187D"/>
    <w:rsid w:val="00F2413F"/>
    <w:rsid w:val="00FA7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4ED35"/>
  <w15:chartTrackingRefBased/>
  <w15:docId w15:val="{4643DBC9-EF9D-44FE-8217-726490FBD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241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413F"/>
    <w:rPr>
      <w:sz w:val="20"/>
      <w:szCs w:val="20"/>
    </w:rPr>
  </w:style>
  <w:style w:type="character" w:styleId="FootnoteReference">
    <w:name w:val="footnote reference"/>
    <w:basedOn w:val="DefaultParagraphFont"/>
    <w:uiPriority w:val="99"/>
    <w:semiHidden/>
    <w:unhideWhenUsed/>
    <w:rsid w:val="00F2413F"/>
    <w:rPr>
      <w:vertAlign w:val="superscript"/>
    </w:rPr>
  </w:style>
  <w:style w:type="character" w:styleId="Emphasis">
    <w:name w:val="Emphasis"/>
    <w:basedOn w:val="DefaultParagraphFont"/>
    <w:uiPriority w:val="20"/>
    <w:qFormat/>
    <w:rsid w:val="00F241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D1ED927-0C6D-4AF6-ABE0-658C6A4710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Pages>
  <Words>86</Words>
  <Characters>492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2021-08-29T17:36:00Z</dcterms:created>
  <dcterms:modified xsi:type="dcterms:W3CDTF">2021-08-29T23:54:00Z</dcterms:modified>
</cp:coreProperties>
</file>