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FFA07" w14:textId="3229CFFA" w:rsidR="001B670B" w:rsidRDefault="001B670B" w:rsidP="00E1501D">
      <w:pPr>
        <w:pStyle w:val="NormalWeb"/>
        <w:spacing w:before="240" w:beforeAutospacing="0" w:after="0" w:afterAutospacing="0"/>
        <w:rPr>
          <w:color w:val="0E101A"/>
        </w:rPr>
      </w:pPr>
      <w:r>
        <w:rPr>
          <w:color w:val="0E101A"/>
        </w:rPr>
        <w:t>Many scholars spill a great deal of ink discussing the person and work of Christ. Throughout history, the most heated debate in Christology is over the understanding of the person and work of Jesus Christ. The question at hand has been: How does one approach Christology? For a long period, theologians have employed different approaches and methods. One of these is known as Christology from above. This approach is associated especially with Karl Barth, Rudolf Bultmann, and Emil Brunner. The other approach i</w:t>
      </w:r>
      <w:r w:rsidR="00C7714F">
        <w:rPr>
          <w:color w:val="0E101A"/>
        </w:rPr>
        <w:t>s known as</w:t>
      </w:r>
      <w:r>
        <w:rPr>
          <w:color w:val="0E101A"/>
        </w:rPr>
        <w:t xml:space="preserve"> Christology from below. </w:t>
      </w:r>
      <w:r w:rsidR="00A47281">
        <w:rPr>
          <w:color w:val="0E101A"/>
        </w:rPr>
        <w:t xml:space="preserve">Its proponents include Bultmann and </w:t>
      </w:r>
      <w:proofErr w:type="spellStart"/>
      <w:r w:rsidR="00A47281" w:rsidRPr="00A47281">
        <w:rPr>
          <w:color w:val="0E101A"/>
        </w:rPr>
        <w:t>Wolfhart</w:t>
      </w:r>
      <w:proofErr w:type="spellEnd"/>
      <w:r w:rsidR="00A47281" w:rsidRPr="00A47281">
        <w:rPr>
          <w:color w:val="0E101A"/>
        </w:rPr>
        <w:t xml:space="preserve"> Pannenberg</w:t>
      </w:r>
      <w:r w:rsidR="00A47281">
        <w:rPr>
          <w:color w:val="0E101A"/>
        </w:rPr>
        <w:t xml:space="preserve">. </w:t>
      </w:r>
      <w:r>
        <w:rPr>
          <w:color w:val="0E101A"/>
        </w:rPr>
        <w:t xml:space="preserve">As the two </w:t>
      </w:r>
      <w:r w:rsidR="00C7714F">
        <w:rPr>
          <w:color w:val="0E101A"/>
        </w:rPr>
        <w:t>approache</w:t>
      </w:r>
      <w:r>
        <w:rPr>
          <w:color w:val="0E101A"/>
        </w:rPr>
        <w:t>s seem to suggest, there are star</w:t>
      </w:r>
      <w:r w:rsidR="00A47281">
        <w:rPr>
          <w:color w:val="0E101A"/>
        </w:rPr>
        <w:t>kly opposed to each other</w:t>
      </w:r>
      <w:r>
        <w:rPr>
          <w:color w:val="0E101A"/>
        </w:rPr>
        <w:t>. Consequently, their many varied understandings of the person and work of Christ continue to rock the Christian circles. This thread explains and evaluates the debate that has ensued and its importance for understanding the person and work of Jesus Christ from a biblical perspective.</w:t>
      </w:r>
    </w:p>
    <w:p w14:paraId="5727D215" w14:textId="732FCDDF" w:rsidR="001B670B" w:rsidRDefault="001B670B" w:rsidP="00E1501D">
      <w:pPr>
        <w:pStyle w:val="NormalWeb"/>
        <w:spacing w:before="240" w:beforeAutospacing="0" w:after="0" w:afterAutospacing="0"/>
        <w:rPr>
          <w:color w:val="0E101A"/>
        </w:rPr>
      </w:pPr>
      <w:r>
        <w:rPr>
          <w:color w:val="0E101A"/>
        </w:rPr>
        <w:t> Millard Erickson postulates that Christology from above has been the bedrock of early Christianity.</w:t>
      </w:r>
      <w:r>
        <w:rPr>
          <w:rStyle w:val="FootnoteReference"/>
        </w:rPr>
        <w:footnoteReference w:id="1"/>
      </w:r>
      <w:r>
        <w:rPr>
          <w:color w:val="0E101A"/>
        </w:rPr>
        <w:t xml:space="preserve"> This Christological methodology strongly affirms that the basis of understanding Jesus is by kerygma. Christology from above relies heavily on the writings of Paul and the Gospel of John. It emphasizes or starts with the divinity of Jesus</w:t>
      </w:r>
      <w:r w:rsidR="00C7714F">
        <w:rPr>
          <w:color w:val="0E101A"/>
        </w:rPr>
        <w:t>: I</w:t>
      </w:r>
      <w:r w:rsidR="00C7714F" w:rsidRPr="00C7714F">
        <w:rPr>
          <w:color w:val="0E101A"/>
        </w:rPr>
        <w:t>n the beginning was the Word, and the Word was with God, and the Word was God</w:t>
      </w:r>
      <w:r w:rsidR="00C7714F">
        <w:rPr>
          <w:color w:val="0E101A"/>
        </w:rPr>
        <w:t xml:space="preserve"> (John</w:t>
      </w:r>
      <w:r w:rsidR="00C7714F">
        <w:rPr>
          <w:color w:val="0E101A"/>
        </w:rPr>
        <w:t>1:1, NIV)</w:t>
      </w:r>
      <w:r w:rsidR="00C7714F">
        <w:rPr>
          <w:color w:val="0E101A"/>
        </w:rPr>
        <w:t xml:space="preserve">. </w:t>
      </w:r>
      <w:r>
        <w:rPr>
          <w:color w:val="0E101A"/>
        </w:rPr>
        <w:t xml:space="preserve"> Furthermore, it allows accepting and believing who Christ is by faith without appealing to natural reason. In a nutshell, it arises from the testimony of Christ (that includes the witness of and as well as that of the apostles). According to Millard Erickson, “Christology from above has the strength of recognizing that the real aim and value of the incarnation were the effect of Jesus’s life upon those who believed in him.”</w:t>
      </w:r>
      <w:r>
        <w:rPr>
          <w:rStyle w:val="FootnoteReference"/>
        </w:rPr>
        <w:footnoteReference w:id="2"/>
      </w:r>
      <w:r>
        <w:rPr>
          <w:color w:val="0E101A"/>
        </w:rPr>
        <w:t> That said, there are weaknesses to this approach. The most obvious is the substantiality of faith. Erickson avers that it is hard to ascertain that the Christ whom we know from the witness of the apostles and encounter in our own experience today is Jesus as he really is and not merely our own feelings.</w:t>
      </w:r>
      <w:r>
        <w:rPr>
          <w:rStyle w:val="FootnoteReference"/>
        </w:rPr>
        <w:footnoteReference w:id="3"/>
      </w:r>
    </w:p>
    <w:p w14:paraId="2DB34CEB" w14:textId="77777777" w:rsidR="001B670B" w:rsidRDefault="001B670B" w:rsidP="00E1501D">
      <w:pPr>
        <w:pStyle w:val="NormalWeb"/>
        <w:spacing w:before="240" w:beforeAutospacing="0" w:after="0" w:afterAutospacing="0"/>
        <w:rPr>
          <w:color w:val="0E101A"/>
        </w:rPr>
      </w:pPr>
      <w:r>
        <w:rPr>
          <w:color w:val="0E101A"/>
        </w:rPr>
        <w:t>Another approach is the ‘Christology from below.’ This approach claims that the basis of understanding Christ should be in examining the historical Jesus. In other words, not faith should be used to arrive at who Christ is. Rather reason should be. A key strength of this approach is that it somehow eliminates undue amounts of subjectivity. Perhaps the only weakness is that it struggles to establish the full deity of Jesus. How God could take a human body is something that neither can be sufficiently explained nor logically explained.</w:t>
      </w:r>
    </w:p>
    <w:p w14:paraId="529A8C51" w14:textId="4EC5F744" w:rsidR="001B670B" w:rsidRDefault="001B670B" w:rsidP="00E1501D">
      <w:pPr>
        <w:pStyle w:val="NormalWeb"/>
        <w:spacing w:before="240" w:beforeAutospacing="0" w:after="0" w:afterAutospacing="0"/>
        <w:rPr>
          <w:color w:val="0E101A"/>
        </w:rPr>
      </w:pPr>
      <w:r>
        <w:rPr>
          <w:color w:val="0E101A"/>
        </w:rPr>
        <w:t>Since there is a dichotomy between Christology from above and Christology from below, Erickson suggests another approach that intermarries the two. He calls this approach the “Alternative approach.” Erickson postulates, “Our model entails following neither faith alone nor historical reason alone, but both together in an intertwined, mutually dependent, simultaneously progressing fashion.</w:t>
      </w:r>
      <w:r>
        <w:rPr>
          <w:rStyle w:val="FootnoteReference"/>
        </w:rPr>
        <w:footnoteReference w:id="4"/>
      </w:r>
      <w:r>
        <w:rPr>
          <w:color w:val="0E101A"/>
        </w:rPr>
        <w:t>  Furthermore, the alternative approach aims to maximize their strengths as well as minimize their weaknesses.</w:t>
      </w:r>
    </w:p>
    <w:p w14:paraId="0E05DB11" w14:textId="0C280A25" w:rsidR="001B670B" w:rsidRDefault="001B670B" w:rsidP="00E1501D">
      <w:pPr>
        <w:pStyle w:val="NormalWeb"/>
        <w:spacing w:before="240" w:beforeAutospacing="0" w:after="0" w:afterAutospacing="0"/>
        <w:rPr>
          <w:color w:val="0E101A"/>
        </w:rPr>
      </w:pPr>
      <w:r>
        <w:rPr>
          <w:color w:val="0E101A"/>
        </w:rPr>
        <w:t xml:space="preserve">This understanding is important as it perfectly captures the essence of Christ as 100 percent God and 100 percent human. The two natures seemingly meshed together and provided a perfect </w:t>
      </w:r>
      <w:r>
        <w:rPr>
          <w:color w:val="0E101A"/>
        </w:rPr>
        <w:lastRenderedPageBreak/>
        <w:t>environment for the works of salvation to happen. Though the two natures appear to be exclusive, they support each other fully. Erickson avers that the kerygmatic Christ serves as the key that unlocks the historical Jesus, and the facts of Jesus’s life as support for the message that he is the Son of God.</w:t>
      </w:r>
      <w:r w:rsidR="00E1501D">
        <w:rPr>
          <w:rStyle w:val="FootnoteReference"/>
        </w:rPr>
        <w:footnoteReference w:id="5"/>
      </w:r>
      <w:r>
        <w:rPr>
          <w:color w:val="0E101A"/>
        </w:rPr>
        <w:t> </w:t>
      </w:r>
      <w:r w:rsidR="00C7714F">
        <w:rPr>
          <w:color w:val="0E101A"/>
        </w:rPr>
        <w:t>O</w:t>
      </w:r>
      <w:r>
        <w:rPr>
          <w:color w:val="0E101A"/>
        </w:rPr>
        <w:t>n the other hand, Faith in Christ leads believers to an understanding of the Jesus of history.</w:t>
      </w:r>
    </w:p>
    <w:p w14:paraId="6AA7E567" w14:textId="77777777" w:rsidR="001B670B" w:rsidRDefault="001B670B" w:rsidP="00E1501D">
      <w:pPr>
        <w:spacing w:before="240"/>
      </w:pPr>
    </w:p>
    <w:p w14:paraId="34BDC026" w14:textId="77777777" w:rsidR="001B670B" w:rsidRDefault="001B670B" w:rsidP="00E1501D">
      <w:pPr>
        <w:spacing w:before="240"/>
      </w:pPr>
    </w:p>
    <w:p w14:paraId="091899F5" w14:textId="113D1A0A" w:rsidR="00461477" w:rsidRDefault="00461477" w:rsidP="00E1501D">
      <w:pPr>
        <w:spacing w:before="240"/>
      </w:pPr>
      <w:r>
        <w:t>Bibliography</w:t>
      </w:r>
    </w:p>
    <w:p w14:paraId="701C9C57" w14:textId="2B3BB396" w:rsidR="00461477" w:rsidRDefault="00461477" w:rsidP="00E1501D">
      <w:pPr>
        <w:spacing w:before="240"/>
      </w:pPr>
      <w:r>
        <w:rPr>
          <w:rFonts w:ascii="Roboto" w:hAnsi="Roboto"/>
          <w:color w:val="212529"/>
          <w:shd w:val="clear" w:color="auto" w:fill="FFFFFF"/>
        </w:rPr>
        <w:t>Erickson, Millard J. </w:t>
      </w:r>
      <w:r>
        <w:rPr>
          <w:rStyle w:val="Emphasis"/>
          <w:rFonts w:ascii="Roboto" w:hAnsi="Roboto"/>
          <w:color w:val="212529"/>
          <w:shd w:val="clear" w:color="auto" w:fill="FFFFFF"/>
        </w:rPr>
        <w:t>Christian Theology</w:t>
      </w:r>
      <w:r>
        <w:rPr>
          <w:rFonts w:ascii="Roboto" w:hAnsi="Roboto"/>
          <w:color w:val="212529"/>
          <w:shd w:val="clear" w:color="auto" w:fill="FFFFFF"/>
        </w:rPr>
        <w:t>. 3rd ed. Grand Rapids: Baker Academic, 2013</w:t>
      </w:r>
      <w:r w:rsidR="001315EC">
        <w:rPr>
          <w:rFonts w:ascii="Roboto" w:hAnsi="Roboto"/>
          <w:color w:val="212529"/>
          <w:shd w:val="clear" w:color="auto" w:fill="FFFFFF"/>
        </w:rPr>
        <w:t>.</w:t>
      </w:r>
    </w:p>
    <w:sectPr w:rsidR="004614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16699" w14:textId="77777777" w:rsidR="0031676F" w:rsidRDefault="0031676F" w:rsidP="00392EAF">
      <w:pPr>
        <w:spacing w:after="0" w:line="240" w:lineRule="auto"/>
      </w:pPr>
      <w:r>
        <w:separator/>
      </w:r>
    </w:p>
  </w:endnote>
  <w:endnote w:type="continuationSeparator" w:id="0">
    <w:p w14:paraId="3729BF31" w14:textId="77777777" w:rsidR="0031676F" w:rsidRDefault="0031676F" w:rsidP="00392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BAEB0" w14:textId="77777777" w:rsidR="0031676F" w:rsidRDefault="0031676F" w:rsidP="00392EAF">
      <w:pPr>
        <w:spacing w:after="0" w:line="240" w:lineRule="auto"/>
      </w:pPr>
      <w:r>
        <w:separator/>
      </w:r>
    </w:p>
  </w:footnote>
  <w:footnote w:type="continuationSeparator" w:id="0">
    <w:p w14:paraId="0F04B5BB" w14:textId="77777777" w:rsidR="0031676F" w:rsidRDefault="0031676F" w:rsidP="00392EAF">
      <w:pPr>
        <w:spacing w:after="0" w:line="240" w:lineRule="auto"/>
      </w:pPr>
      <w:r>
        <w:continuationSeparator/>
      </w:r>
    </w:p>
  </w:footnote>
  <w:footnote w:id="1">
    <w:p w14:paraId="74A5FB8C" w14:textId="77777777" w:rsidR="001B670B" w:rsidRDefault="001B670B" w:rsidP="001B670B">
      <w:pPr>
        <w:pStyle w:val="FootnoteText"/>
      </w:pPr>
      <w:r>
        <w:rPr>
          <w:rStyle w:val="FootnoteReference"/>
        </w:rPr>
        <w:footnoteRef/>
      </w:r>
      <w:r>
        <w:t xml:space="preserve"> </w:t>
      </w:r>
      <w:r w:rsidRPr="00392EAF">
        <w:t xml:space="preserve">Millard J. Erickson, </w:t>
      </w:r>
      <w:r w:rsidRPr="00392EAF">
        <w:rPr>
          <w:i/>
          <w:iCs/>
        </w:rPr>
        <w:t>Christian Theology</w:t>
      </w:r>
      <w:r w:rsidRPr="00392EAF">
        <w:t xml:space="preserve">. 3rd ed. </w:t>
      </w:r>
      <w:r>
        <w:t>(</w:t>
      </w:r>
      <w:r w:rsidRPr="00392EAF">
        <w:t>Grand Rapids: Baker Academic, 2013</w:t>
      </w:r>
      <w:r>
        <w:t>), 607.</w:t>
      </w:r>
    </w:p>
  </w:footnote>
  <w:footnote w:id="2">
    <w:p w14:paraId="6D96E799" w14:textId="77777777" w:rsidR="001B670B" w:rsidRDefault="001B670B" w:rsidP="001B670B">
      <w:pPr>
        <w:pStyle w:val="FootnoteText"/>
      </w:pPr>
      <w:r>
        <w:rPr>
          <w:rStyle w:val="FootnoteReference"/>
        </w:rPr>
        <w:footnoteRef/>
      </w:r>
      <w:r>
        <w:t xml:space="preserve"> Ibid., 608.</w:t>
      </w:r>
    </w:p>
  </w:footnote>
  <w:footnote w:id="3">
    <w:p w14:paraId="4DA25087" w14:textId="77777777" w:rsidR="001B670B" w:rsidRDefault="001B670B" w:rsidP="001B670B">
      <w:pPr>
        <w:pStyle w:val="FootnoteText"/>
      </w:pPr>
      <w:r>
        <w:rPr>
          <w:rStyle w:val="FootnoteReference"/>
        </w:rPr>
        <w:footnoteRef/>
      </w:r>
      <w:r>
        <w:t xml:space="preserve"> Ibid., 612.</w:t>
      </w:r>
    </w:p>
  </w:footnote>
  <w:footnote w:id="4">
    <w:p w14:paraId="0E801DFF" w14:textId="77777777" w:rsidR="001B670B" w:rsidRDefault="001B670B" w:rsidP="001B670B">
      <w:pPr>
        <w:pStyle w:val="FootnoteText"/>
      </w:pPr>
      <w:r>
        <w:rPr>
          <w:rStyle w:val="FootnoteReference"/>
        </w:rPr>
        <w:footnoteRef/>
      </w:r>
      <w:r>
        <w:t xml:space="preserve"> Ibid., 614.</w:t>
      </w:r>
    </w:p>
  </w:footnote>
  <w:footnote w:id="5">
    <w:p w14:paraId="76DCE41F" w14:textId="77777777" w:rsidR="00E1501D" w:rsidRDefault="00E1501D" w:rsidP="00E1501D">
      <w:pPr>
        <w:pStyle w:val="FootnoteText"/>
      </w:pPr>
      <w:r>
        <w:rPr>
          <w:rStyle w:val="FootnoteReference"/>
        </w:rPr>
        <w:footnoteRef/>
      </w:r>
      <w:r>
        <w:t xml:space="preserve"> Ibid., 615.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BB6"/>
    <w:rsid w:val="001315EC"/>
    <w:rsid w:val="00192A35"/>
    <w:rsid w:val="001B670B"/>
    <w:rsid w:val="00211BB6"/>
    <w:rsid w:val="00224F48"/>
    <w:rsid w:val="002C6C2B"/>
    <w:rsid w:val="002D3A7A"/>
    <w:rsid w:val="0031676F"/>
    <w:rsid w:val="00365FEA"/>
    <w:rsid w:val="00392EAF"/>
    <w:rsid w:val="00461477"/>
    <w:rsid w:val="00487235"/>
    <w:rsid w:val="005C34E3"/>
    <w:rsid w:val="0061612E"/>
    <w:rsid w:val="00660DC2"/>
    <w:rsid w:val="00717B96"/>
    <w:rsid w:val="00872EF6"/>
    <w:rsid w:val="008731A6"/>
    <w:rsid w:val="00A47281"/>
    <w:rsid w:val="00B20918"/>
    <w:rsid w:val="00B24983"/>
    <w:rsid w:val="00BB618B"/>
    <w:rsid w:val="00C7714F"/>
    <w:rsid w:val="00C84802"/>
    <w:rsid w:val="00E1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A9A8C"/>
  <w15:chartTrackingRefBased/>
  <w15:docId w15:val="{2B172657-C29B-45EB-8301-0447BBD98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61477"/>
    <w:rPr>
      <w:i/>
      <w:iCs/>
    </w:rPr>
  </w:style>
  <w:style w:type="paragraph" w:styleId="FootnoteText">
    <w:name w:val="footnote text"/>
    <w:basedOn w:val="Normal"/>
    <w:link w:val="FootnoteTextChar"/>
    <w:uiPriority w:val="99"/>
    <w:semiHidden/>
    <w:unhideWhenUsed/>
    <w:rsid w:val="00392E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2EAF"/>
    <w:rPr>
      <w:sz w:val="20"/>
      <w:szCs w:val="20"/>
    </w:rPr>
  </w:style>
  <w:style w:type="character" w:styleId="FootnoteReference">
    <w:name w:val="footnote reference"/>
    <w:basedOn w:val="DefaultParagraphFont"/>
    <w:uiPriority w:val="99"/>
    <w:semiHidden/>
    <w:unhideWhenUsed/>
    <w:rsid w:val="00392EAF"/>
    <w:rPr>
      <w:vertAlign w:val="superscript"/>
    </w:rPr>
  </w:style>
  <w:style w:type="paragraph" w:styleId="NormalWeb">
    <w:name w:val="Normal (Web)"/>
    <w:basedOn w:val="Normal"/>
    <w:uiPriority w:val="99"/>
    <w:semiHidden/>
    <w:unhideWhenUsed/>
    <w:rsid w:val="001B67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67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02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13A81AF-9B28-4F5F-BE91-1C6932097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2021-08-26T19:35:00Z</dcterms:created>
  <dcterms:modified xsi:type="dcterms:W3CDTF">2021-08-26T23:59:00Z</dcterms:modified>
</cp:coreProperties>
</file>