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33F4" w14:textId="3C90939A" w:rsidR="002140BB" w:rsidRDefault="002140BB" w:rsidP="002140BB">
      <w:pPr>
        <w:pStyle w:val="NormalWeb"/>
        <w:spacing w:before="0" w:beforeAutospacing="0" w:after="0" w:afterAutospacing="0"/>
        <w:rPr>
          <w:color w:val="0E101A"/>
        </w:rPr>
      </w:pPr>
      <w:r>
        <w:rPr>
          <w:color w:val="0E101A"/>
        </w:rPr>
        <w:t>Throughout church history, the most heated debate in Christology has been over the understanding of the person and work of Jesus Christ. To be more specific, one of the theological issues that have arisen in this debate is the logical order of Christology. One side of the divide postulates that an understanding of the person of Christ, his nature, must be developed first, and then applied to give us an understanding of the work of Christ. The other side of the divide avers that we must begin with the work of Christ and then deduce what type of person he is.</w:t>
      </w:r>
      <w:r>
        <w:rPr>
          <w:rStyle w:val="FootnoteReference"/>
        </w:rPr>
        <w:footnoteReference w:id="1"/>
      </w:r>
    </w:p>
    <w:p w14:paraId="50ACFF0B" w14:textId="49381F6F" w:rsidR="002140BB" w:rsidRDefault="00105738" w:rsidP="002140BB">
      <w:pPr>
        <w:pStyle w:val="NormalWeb"/>
        <w:spacing w:before="0" w:beforeAutospacing="0" w:after="0" w:afterAutospacing="0"/>
        <w:rPr>
          <w:color w:val="0E101A"/>
        </w:rPr>
      </w:pPr>
      <w:r>
        <w:rPr>
          <w:color w:val="0E101A"/>
        </w:rPr>
        <w:t>To begin</w:t>
      </w:r>
      <w:r w:rsidR="002140BB">
        <w:rPr>
          <w:color w:val="0E101A"/>
        </w:rPr>
        <w:t xml:space="preserve">, taking the person of Christ approach has the advantage in that people are likely to love Christ for who he is and not for what he has done. However, this </w:t>
      </w:r>
      <w:r>
        <w:rPr>
          <w:color w:val="0E101A"/>
        </w:rPr>
        <w:t>approach</w:t>
      </w:r>
      <w:r w:rsidR="002140BB">
        <w:rPr>
          <w:color w:val="0E101A"/>
        </w:rPr>
        <w:t xml:space="preserve"> also faces potential problems. First and foremost, believers are likely to feel that their needs are not taken care of. Secondly, they are likely to feel disconnected from God. According to Millard Erickson, during the medieval time, the debates over Jesus’s deity, the extent of his knowledge, and his sinlessness, as well as questions like whether he had one will or two, were very abstract. As a result, many Christians struggled to see what effect such issues had on their lives.</w:t>
      </w:r>
      <w:r w:rsidR="002140BB">
        <w:rPr>
          <w:rStyle w:val="FootnoteReference"/>
        </w:rPr>
        <w:footnoteReference w:id="2"/>
      </w:r>
    </w:p>
    <w:p w14:paraId="17C12456" w14:textId="565FAE35" w:rsidR="002140BB" w:rsidRDefault="002140BB" w:rsidP="002140BB">
      <w:pPr>
        <w:pStyle w:val="NormalWeb"/>
        <w:spacing w:before="0" w:beforeAutospacing="0" w:after="0" w:afterAutospacing="0"/>
        <w:rPr>
          <w:color w:val="0E101A"/>
        </w:rPr>
      </w:pPr>
      <w:r>
        <w:rPr>
          <w:color w:val="0E101A"/>
        </w:rPr>
        <w:t>On the other hand, if we are to approach the person of Christ through the work of Christ, we realize the advantage of having a greater coherence between Christology and soteriology. Millard Erickson notes, “It is possible to treat the former in isolation from the latter. But it is not possible to speak of what Christ does in our lives without relating that work to the nature of Christ, which it presupposes.”</w:t>
      </w:r>
      <w:r>
        <w:rPr>
          <w:rStyle w:val="FootnoteReference"/>
        </w:rPr>
        <w:footnoteReference w:id="3"/>
      </w:r>
      <w:r>
        <w:rPr>
          <w:color w:val="0E101A"/>
        </w:rPr>
        <w:t> Secondly, beginning with the work of Christ has the benefit of demonstrating relevance. The disadvantage, however, is that human beings are likely to allow needs to set the agenda for seeking God.</w:t>
      </w:r>
    </w:p>
    <w:p w14:paraId="679BBAD3" w14:textId="7998B9BA" w:rsidR="002140BB" w:rsidRDefault="002140BB" w:rsidP="002140BB">
      <w:pPr>
        <w:pStyle w:val="NormalWeb"/>
        <w:spacing w:before="0" w:beforeAutospacing="0" w:after="0" w:afterAutospacing="0"/>
        <w:rPr>
          <w:color w:val="0E101A"/>
        </w:rPr>
      </w:pPr>
      <w:r>
        <w:rPr>
          <w:color w:val="0E101A"/>
        </w:rPr>
        <w:t xml:space="preserve">Friedrich Schleiermacher, a German philosopher and often called the father of Liberal Theology provides </w:t>
      </w:r>
      <w:r w:rsidR="00105738">
        <w:rPr>
          <w:color w:val="0E101A"/>
        </w:rPr>
        <w:t xml:space="preserve">another </w:t>
      </w:r>
      <w:r>
        <w:rPr>
          <w:color w:val="0E101A"/>
        </w:rPr>
        <w:t>perspective. He avers that the logical order of Christology does not matter. For Schleiermacher, the prime element in Christology is the experience of what Christ does within a believer. Thus, since the person of Christ and his work are inseparable, Schleiermacher posits that Christology can be approached from either angle.</w:t>
      </w:r>
      <w:r>
        <w:rPr>
          <w:rStyle w:val="FootnoteReference"/>
        </w:rPr>
        <w:footnoteReference w:id="4"/>
      </w:r>
    </w:p>
    <w:p w14:paraId="5C5B2AB6" w14:textId="6514F962" w:rsidR="002140BB" w:rsidRDefault="002140BB" w:rsidP="002140BB">
      <w:pPr>
        <w:pStyle w:val="NormalWeb"/>
        <w:spacing w:before="0" w:beforeAutospacing="0" w:after="0" w:afterAutospacing="0"/>
        <w:rPr>
          <w:color w:val="0E101A"/>
        </w:rPr>
      </w:pPr>
      <w:r>
        <w:rPr>
          <w:color w:val="0E101A"/>
        </w:rPr>
        <w:t xml:space="preserve">Taking note of all these views, if we have to choose which approach should have priority, then it will have to be the understanding of the person of Christ. Knowing Christ through his person and nature guarantees a sure foundation of faith. In Matthew 7:22-23, Jesus warned his disciples of the danger of thinking doing things for God is the same as having a relationship with him. </w:t>
      </w:r>
      <w:r w:rsidR="00105738">
        <w:rPr>
          <w:color w:val="0E101A"/>
        </w:rPr>
        <w:t xml:space="preserve">Respectively </w:t>
      </w:r>
      <w:r>
        <w:rPr>
          <w:color w:val="0E101A"/>
        </w:rPr>
        <w:t xml:space="preserve">God was not as interested in the disciples knowing his works as much as he was in </w:t>
      </w:r>
      <w:r w:rsidR="00105738">
        <w:rPr>
          <w:color w:val="0E101A"/>
        </w:rPr>
        <w:t xml:space="preserve">them </w:t>
      </w:r>
      <w:r>
        <w:rPr>
          <w:color w:val="0E101A"/>
        </w:rPr>
        <w:t>knowing his person. Thus, when talking about atonement, the satisfaction theory seems to be the best option. The Socinian theory emphasizes the human nature of Christ. The moral influence theory emphasizes Christ’s divine dimension. The governmental theory, on the other hand, focuses on the seriousness of sin. The ransom theory finally focuses on victory over Satan. It is only the satisfaction theory that captures both Christ’s deityhood and humanity in equal measure. Christ died to satisfy a principle in the very nature of God the Father. Adam had sinned against God. For God to restore human beings, he had to work in a way that demonstrated his nature of mercy and justice. As Erickson observes, “Sin left unpunished leaves God’s economy out of order.”</w:t>
      </w:r>
      <w:r>
        <w:rPr>
          <w:rStyle w:val="FootnoteReference"/>
        </w:rPr>
        <w:footnoteReference w:id="5"/>
      </w:r>
      <w:r>
        <w:rPr>
          <w:color w:val="0E101A"/>
        </w:rPr>
        <w:t xml:space="preserve"> Erickson adds, “For things to be set right in the economy of God’s kingdom, </w:t>
      </w:r>
      <w:r>
        <w:rPr>
          <w:color w:val="0E101A"/>
        </w:rPr>
        <w:lastRenderedPageBreak/>
        <w:t>something had to be done for human beings by someone qualified to represent them.”</w:t>
      </w:r>
      <w:r>
        <w:rPr>
          <w:rStyle w:val="FootnoteReference"/>
        </w:rPr>
        <w:footnoteReference w:id="6"/>
      </w:r>
      <w:r w:rsidR="00105738">
        <w:rPr>
          <w:color w:val="0E101A"/>
        </w:rPr>
        <w:t xml:space="preserve"> in this way then, the satisfaction theory compensates effectively for the two essences of Christ’s nature.</w:t>
      </w:r>
    </w:p>
    <w:p w14:paraId="383F46F1" w14:textId="17BD77AC" w:rsidR="002746CF" w:rsidRDefault="002746CF"/>
    <w:sectPr w:rsidR="00274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3F321" w14:textId="77777777" w:rsidR="00636CC4" w:rsidRDefault="00636CC4" w:rsidP="00BD2A51">
      <w:pPr>
        <w:spacing w:after="0" w:line="240" w:lineRule="auto"/>
      </w:pPr>
      <w:r>
        <w:separator/>
      </w:r>
    </w:p>
  </w:endnote>
  <w:endnote w:type="continuationSeparator" w:id="0">
    <w:p w14:paraId="38E48A72" w14:textId="77777777" w:rsidR="00636CC4" w:rsidRDefault="00636CC4" w:rsidP="00BD2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4172A" w14:textId="77777777" w:rsidR="00636CC4" w:rsidRDefault="00636CC4" w:rsidP="00BD2A51">
      <w:pPr>
        <w:spacing w:after="0" w:line="240" w:lineRule="auto"/>
      </w:pPr>
      <w:r>
        <w:separator/>
      </w:r>
    </w:p>
  </w:footnote>
  <w:footnote w:type="continuationSeparator" w:id="0">
    <w:p w14:paraId="3C1EF2C0" w14:textId="77777777" w:rsidR="00636CC4" w:rsidRDefault="00636CC4" w:rsidP="00BD2A51">
      <w:pPr>
        <w:spacing w:after="0" w:line="240" w:lineRule="auto"/>
      </w:pPr>
      <w:r>
        <w:continuationSeparator/>
      </w:r>
    </w:p>
  </w:footnote>
  <w:footnote w:id="1">
    <w:p w14:paraId="62878FB7" w14:textId="77777777" w:rsidR="002140BB" w:rsidRDefault="002140BB" w:rsidP="002140BB">
      <w:pPr>
        <w:pStyle w:val="FootnoteText"/>
      </w:pPr>
      <w:r>
        <w:rPr>
          <w:rStyle w:val="FootnoteReference"/>
        </w:rPr>
        <w:footnoteRef/>
      </w:r>
      <w:r>
        <w:t xml:space="preserve"> </w:t>
      </w:r>
      <w:r w:rsidRPr="00392EAF">
        <w:t xml:space="preserve">Millard J. Erickson, </w:t>
      </w:r>
      <w:r w:rsidRPr="00392EAF">
        <w:rPr>
          <w:i/>
          <w:iCs/>
        </w:rPr>
        <w:t>Christian Theology</w:t>
      </w:r>
      <w:r w:rsidRPr="00392EAF">
        <w:t xml:space="preserve">. 3rd ed. </w:t>
      </w:r>
      <w:r>
        <w:t>(</w:t>
      </w:r>
      <w:r w:rsidRPr="00392EAF">
        <w:t>Grand Rapids: Baker Academic, 2013</w:t>
      </w:r>
      <w:r>
        <w:t>), 617.</w:t>
      </w:r>
    </w:p>
  </w:footnote>
  <w:footnote w:id="2">
    <w:p w14:paraId="1872D109" w14:textId="77777777" w:rsidR="002140BB" w:rsidRDefault="002140BB" w:rsidP="002140BB">
      <w:pPr>
        <w:pStyle w:val="FootnoteText"/>
      </w:pPr>
      <w:r>
        <w:rPr>
          <w:rStyle w:val="FootnoteReference"/>
        </w:rPr>
        <w:footnoteRef/>
      </w:r>
      <w:r>
        <w:t xml:space="preserve"> Ibid., 618.</w:t>
      </w:r>
    </w:p>
  </w:footnote>
  <w:footnote w:id="3">
    <w:p w14:paraId="5A3AE635" w14:textId="77777777" w:rsidR="002140BB" w:rsidRDefault="002140BB" w:rsidP="002140BB">
      <w:pPr>
        <w:pStyle w:val="FootnoteText"/>
      </w:pPr>
      <w:r>
        <w:rPr>
          <w:rStyle w:val="FootnoteReference"/>
        </w:rPr>
        <w:footnoteRef/>
      </w:r>
      <w:r>
        <w:t xml:space="preserve"> Ibid., 628.</w:t>
      </w:r>
    </w:p>
  </w:footnote>
  <w:footnote w:id="4">
    <w:p w14:paraId="0805D815" w14:textId="77777777" w:rsidR="002140BB" w:rsidRDefault="002140BB" w:rsidP="002140BB">
      <w:pPr>
        <w:pStyle w:val="FootnoteText"/>
      </w:pPr>
      <w:r>
        <w:rPr>
          <w:rStyle w:val="FootnoteReference"/>
        </w:rPr>
        <w:footnoteRef/>
      </w:r>
      <w:r>
        <w:t xml:space="preserve"> Ibid., 617.</w:t>
      </w:r>
    </w:p>
  </w:footnote>
  <w:footnote w:id="5">
    <w:p w14:paraId="40C5D40B" w14:textId="56AB1DDC" w:rsidR="002140BB" w:rsidRDefault="002140BB" w:rsidP="002140BB">
      <w:pPr>
        <w:pStyle w:val="FootnoteText"/>
      </w:pPr>
      <w:r>
        <w:rPr>
          <w:rStyle w:val="FootnoteReference"/>
        </w:rPr>
        <w:footnoteRef/>
      </w:r>
      <w:r>
        <w:t xml:space="preserve"> Ibid., 728.</w:t>
      </w:r>
    </w:p>
  </w:footnote>
  <w:footnote w:id="6">
    <w:p w14:paraId="4633EE9E" w14:textId="77777777" w:rsidR="002140BB" w:rsidRDefault="002140BB" w:rsidP="002140BB">
      <w:pPr>
        <w:pStyle w:val="FootnoteText"/>
      </w:pPr>
      <w:r>
        <w:rPr>
          <w:rStyle w:val="FootnoteReference"/>
        </w:rPr>
        <w:footnoteRef/>
      </w:r>
      <w:r>
        <w:t xml:space="preserve"> Ibid. ,728.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51D"/>
    <w:rsid w:val="00094608"/>
    <w:rsid w:val="00105738"/>
    <w:rsid w:val="002133FD"/>
    <w:rsid w:val="002140BB"/>
    <w:rsid w:val="002549A2"/>
    <w:rsid w:val="002746CF"/>
    <w:rsid w:val="002A1AC0"/>
    <w:rsid w:val="0034267B"/>
    <w:rsid w:val="004F4ED9"/>
    <w:rsid w:val="00636CC4"/>
    <w:rsid w:val="00654B84"/>
    <w:rsid w:val="0068342D"/>
    <w:rsid w:val="0074158A"/>
    <w:rsid w:val="007C6F60"/>
    <w:rsid w:val="0083694C"/>
    <w:rsid w:val="0099377F"/>
    <w:rsid w:val="009B2129"/>
    <w:rsid w:val="00AA6F0E"/>
    <w:rsid w:val="00BD2A51"/>
    <w:rsid w:val="00C5251D"/>
    <w:rsid w:val="00EE0C2F"/>
    <w:rsid w:val="00F04D4B"/>
    <w:rsid w:val="00FE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D3674"/>
  <w15:chartTrackingRefBased/>
  <w15:docId w15:val="{EC27D6E2-10A4-4842-8FB0-79A85039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D2A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2A51"/>
    <w:rPr>
      <w:sz w:val="20"/>
      <w:szCs w:val="20"/>
    </w:rPr>
  </w:style>
  <w:style w:type="character" w:styleId="FootnoteReference">
    <w:name w:val="footnote reference"/>
    <w:basedOn w:val="DefaultParagraphFont"/>
    <w:uiPriority w:val="99"/>
    <w:semiHidden/>
    <w:unhideWhenUsed/>
    <w:rsid w:val="00BD2A51"/>
    <w:rPr>
      <w:vertAlign w:val="superscript"/>
    </w:rPr>
  </w:style>
  <w:style w:type="paragraph" w:styleId="NormalWeb">
    <w:name w:val="Normal (Web)"/>
    <w:basedOn w:val="Normal"/>
    <w:uiPriority w:val="99"/>
    <w:semiHidden/>
    <w:unhideWhenUsed/>
    <w:rsid w:val="002140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40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31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45AC6D6-EDB5-45EA-8C77-6C9C85B43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2021-09-08T21:47:00Z</dcterms:created>
  <dcterms:modified xsi:type="dcterms:W3CDTF">2021-09-10T22:20:00Z</dcterms:modified>
</cp:coreProperties>
</file>