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6CC4D" w14:textId="7350E46B" w:rsidR="00C07BA9" w:rsidRDefault="00C07BA9" w:rsidP="00C07BA9">
      <w:pPr>
        <w:pStyle w:val="NormalWeb"/>
        <w:spacing w:before="240" w:beforeAutospacing="0" w:after="0" w:afterAutospacing="0"/>
        <w:rPr>
          <w:color w:val="0E101A"/>
        </w:rPr>
      </w:pPr>
      <w:r>
        <w:rPr>
          <w:color w:val="0E101A"/>
        </w:rPr>
        <w:t xml:space="preserve">God’s plan for salvation begins way back before </w:t>
      </w:r>
      <w:r>
        <w:rPr>
          <w:color w:val="0E101A"/>
        </w:rPr>
        <w:t>the creation of the universe</w:t>
      </w:r>
      <w:r>
        <w:rPr>
          <w:color w:val="0E101A"/>
        </w:rPr>
        <w:t xml:space="preserve"> (Eph 1:4,10; Rom 8:29, NIV).</w:t>
      </w:r>
      <w:r w:rsidRPr="001F6BF6">
        <w:rPr>
          <w:rStyle w:val="FootnoteReference"/>
        </w:rPr>
        <w:footnoteReference w:id="1"/>
      </w:r>
      <w:r>
        <w:rPr>
          <w:color w:val="0E101A"/>
        </w:rPr>
        <w:t xml:space="preserve">  However, it is not until the garden of Eden that his plan began to unravel. After </w:t>
      </w:r>
      <w:r>
        <w:rPr>
          <w:color w:val="0E101A"/>
        </w:rPr>
        <w:t>he</w:t>
      </w:r>
      <w:r>
        <w:rPr>
          <w:color w:val="0E101A"/>
        </w:rPr>
        <w:t xml:space="preserve"> created </w:t>
      </w:r>
      <w:r>
        <w:rPr>
          <w:color w:val="0E101A"/>
        </w:rPr>
        <w:t>Adam and Eve</w:t>
      </w:r>
      <w:r>
        <w:rPr>
          <w:color w:val="0E101A"/>
        </w:rPr>
        <w:t xml:space="preserve"> in his image, he placed them in the garden of Eden to till and take care of it. Unfortunately, after some time, they fell into sin. As a result, brokenness in the form of sicknesses, calamities, and death entered the world. In addition, fellowship</w:t>
      </w:r>
      <w:r>
        <w:rPr>
          <w:color w:val="0E101A"/>
        </w:rPr>
        <w:t xml:space="preserve"> with God</w:t>
      </w:r>
      <w:r>
        <w:rPr>
          <w:color w:val="0E101A"/>
        </w:rPr>
        <w:t xml:space="preserve"> was severed. No longer could man fellowship with God as he wanted. Fast forward to the New Testament, God, in his prevenient grace and love for his creation, came down in flesh to redeem mankind (cf. John 1:1, 14, 3:16). In the person of Christ, </w:t>
      </w:r>
      <w:r>
        <w:rPr>
          <w:color w:val="0E101A"/>
        </w:rPr>
        <w:t>he died</w:t>
      </w:r>
      <w:r>
        <w:rPr>
          <w:color w:val="0E101A"/>
        </w:rPr>
        <w:t xml:space="preserve"> on the cross for the sins of the world. In other words, Jesus Christ </w:t>
      </w:r>
      <w:r>
        <w:rPr>
          <w:color w:val="0E101A"/>
        </w:rPr>
        <w:t>became a</w:t>
      </w:r>
      <w:r>
        <w:rPr>
          <w:color w:val="0E101A"/>
        </w:rPr>
        <w:t xml:space="preserve"> substitute to take</w:t>
      </w:r>
      <w:r>
        <w:rPr>
          <w:color w:val="0E101A"/>
        </w:rPr>
        <w:t xml:space="preserve"> </w:t>
      </w:r>
      <w:r w:rsidR="00923E71">
        <w:rPr>
          <w:color w:val="0E101A"/>
        </w:rPr>
        <w:t xml:space="preserve">the man’s </w:t>
      </w:r>
      <w:r>
        <w:rPr>
          <w:color w:val="0E101A"/>
        </w:rPr>
        <w:t>place</w:t>
      </w:r>
      <w:r>
        <w:rPr>
          <w:color w:val="0E101A"/>
        </w:rPr>
        <w:t xml:space="preserve">. Instead </w:t>
      </w:r>
      <w:r>
        <w:rPr>
          <w:color w:val="0E101A"/>
        </w:rPr>
        <w:t xml:space="preserve">of man </w:t>
      </w:r>
      <w:r>
        <w:rPr>
          <w:color w:val="0E101A"/>
        </w:rPr>
        <w:t xml:space="preserve">suffering for </w:t>
      </w:r>
      <w:r w:rsidR="00923E71">
        <w:rPr>
          <w:color w:val="0E101A"/>
        </w:rPr>
        <w:t xml:space="preserve">his </w:t>
      </w:r>
      <w:r>
        <w:rPr>
          <w:color w:val="0E101A"/>
        </w:rPr>
        <w:t xml:space="preserve">sins, </w:t>
      </w:r>
      <w:r>
        <w:rPr>
          <w:color w:val="0E101A"/>
        </w:rPr>
        <w:t>Christ</w:t>
      </w:r>
      <w:r>
        <w:rPr>
          <w:color w:val="0E101A"/>
        </w:rPr>
        <w:t xml:space="preserve"> </w:t>
      </w:r>
      <w:r>
        <w:rPr>
          <w:color w:val="0E101A"/>
        </w:rPr>
        <w:t xml:space="preserve">suffered on </w:t>
      </w:r>
      <w:r w:rsidR="00923E71">
        <w:rPr>
          <w:color w:val="0E101A"/>
        </w:rPr>
        <w:t>his</w:t>
      </w:r>
      <w:r>
        <w:rPr>
          <w:color w:val="0E101A"/>
        </w:rPr>
        <w:t xml:space="preserve"> behalf</w:t>
      </w:r>
      <w:r>
        <w:rPr>
          <w:color w:val="0E101A"/>
        </w:rPr>
        <w:t>. His death on the cross was the ultimate price so that he might reconcile</w:t>
      </w:r>
      <w:r>
        <w:rPr>
          <w:color w:val="0E101A"/>
        </w:rPr>
        <w:t xml:space="preserve"> us</w:t>
      </w:r>
      <w:r>
        <w:rPr>
          <w:color w:val="0E101A"/>
        </w:rPr>
        <w:t xml:space="preserve"> to God. First Peter 3: 18 says, “For Christ also suffered once for sins, the righteous for the unrighteous, to bring you to God. He was put to death in the body but made alive in the Spirit.” </w:t>
      </w:r>
      <w:r>
        <w:rPr>
          <w:color w:val="0E101A"/>
        </w:rPr>
        <w:t xml:space="preserve">After conquering sin and death, Christ ascended into heaven where </w:t>
      </w:r>
      <w:r>
        <w:rPr>
          <w:color w:val="0E101A"/>
        </w:rPr>
        <w:t>as</w:t>
      </w:r>
      <w:r>
        <w:rPr>
          <w:color w:val="0E101A"/>
        </w:rPr>
        <w:t xml:space="preserve"> a</w:t>
      </w:r>
      <w:r>
        <w:rPr>
          <w:color w:val="0E101A"/>
        </w:rPr>
        <w:t xml:space="preserve"> high priest</w:t>
      </w:r>
      <w:r>
        <w:rPr>
          <w:color w:val="0E101A"/>
        </w:rPr>
        <w:t xml:space="preserve"> of our confession</w:t>
      </w:r>
      <w:r>
        <w:rPr>
          <w:color w:val="0E101A"/>
        </w:rPr>
        <w:t xml:space="preserve"> continues to intercede for us. </w:t>
      </w:r>
    </w:p>
    <w:p w14:paraId="3E01A410" w14:textId="72C0A4B2" w:rsidR="00C07BA9" w:rsidRDefault="00C07BA9" w:rsidP="00C07BA9">
      <w:pPr>
        <w:pStyle w:val="NormalWeb"/>
        <w:spacing w:before="240" w:beforeAutospacing="0" w:after="0" w:afterAutospacing="0"/>
        <w:rPr>
          <w:color w:val="0E101A"/>
        </w:rPr>
      </w:pPr>
      <w:r>
        <w:rPr>
          <w:color w:val="0E101A"/>
        </w:rPr>
        <w:t>The role the Holy Spirit plays in the work of salvation complements Christ’s. Among the many roles he plays, he convinces sinners of their sins. John 16:8 says, “When he comes, he will prove the world to be in the wrong about sin and righteousness and judgment.” Thus, without this work of the Holy Spirit, there can be no conversion.</w:t>
      </w:r>
      <w:r w:rsidRPr="00C07BA9">
        <w:rPr>
          <w:rStyle w:val="FootnoteReference"/>
          <w:color w:val="000000"/>
          <w:shd w:val="clear" w:color="auto" w:fill="FFFFFF"/>
        </w:rPr>
        <w:t xml:space="preserve"> </w:t>
      </w:r>
      <w:r w:rsidRPr="001F6BF6">
        <w:rPr>
          <w:rStyle w:val="FootnoteReference"/>
          <w:color w:val="000000"/>
          <w:shd w:val="clear" w:color="auto" w:fill="FFFFFF"/>
        </w:rPr>
        <w:footnoteReference w:id="2"/>
      </w:r>
      <w:r>
        <w:rPr>
          <w:color w:val="0E101A"/>
        </w:rPr>
        <w:t xml:space="preserve"> That said, the work of the Holy Spirit does not end when a person becomes a believer. On the contrary, it continues in the form of empowering the believer in the ongoing Christian life. Just like on the day of Pentecost, the Holy Spirit emboldens believers to share the gospel and gives them supernatural abilities to carry out Christ’s work (Cf. Eph 4:11). Another notable role that he plays is acting as a catalyst for regeneration. While answering Nicodemus on what a person can do to inherit the kingdom of God, Jesus categorically stated, “no one can enter the kingdom of God unless he is born of water and the Spirit.” (John 3:5). </w:t>
      </w:r>
      <w:r w:rsidR="00923E71">
        <w:rPr>
          <w:color w:val="0E101A"/>
        </w:rPr>
        <w:t>Simply put, Jesus was insinuating that it takes the Holy Spirit to transform a person.</w:t>
      </w:r>
      <w:r>
        <w:rPr>
          <w:color w:val="0E101A"/>
        </w:rPr>
        <w:t xml:space="preserve"> Finally, the Holy Spirit indwells and illuminates the believer. Erickson notes, “This ministry of illumination by the Holy Spirit was not merely for that first generation of disciples, but also includes helping believers today to understand Scripture.”</w:t>
      </w:r>
      <w:r w:rsidRPr="001F6BF6">
        <w:rPr>
          <w:rStyle w:val="FootnoteReference"/>
          <w:color w:val="000000"/>
          <w:shd w:val="clear" w:color="auto" w:fill="FFFFFF"/>
        </w:rPr>
        <w:footnoteReference w:id="3"/>
      </w:r>
      <w:r>
        <w:rPr>
          <w:color w:val="0E101A"/>
        </w:rPr>
        <w:t> </w:t>
      </w:r>
    </w:p>
    <w:p w14:paraId="5FFFCCFB" w14:textId="677A1AAD" w:rsidR="00C07BA9" w:rsidRDefault="00C07BA9" w:rsidP="00C07BA9">
      <w:pPr>
        <w:pStyle w:val="NormalWeb"/>
        <w:spacing w:before="240" w:beforeAutospacing="0" w:after="0" w:afterAutospacing="0"/>
        <w:rPr>
          <w:color w:val="0E101A"/>
        </w:rPr>
      </w:pPr>
      <w:r>
        <w:rPr>
          <w:color w:val="0E101A"/>
        </w:rPr>
        <w:t xml:space="preserve">Moving on, the distinction between the assurance of salvation, the evidence of salvation, and security for salvation has key highlights. </w:t>
      </w:r>
      <w:r w:rsidR="00923E71">
        <w:rPr>
          <w:color w:val="0E101A"/>
        </w:rPr>
        <w:t>A</w:t>
      </w:r>
      <w:r>
        <w:rPr>
          <w:color w:val="0E101A"/>
        </w:rPr>
        <w:t>ssurance of salvation primarily refers to what one believes (faith).</w:t>
      </w:r>
      <w:hyperlink w:anchor="_ftn4" w:tgtFrame="_blank" w:history="1">
        <w:r w:rsidRPr="001F6BF6">
          <w:rPr>
            <w:rStyle w:val="FootnoteReference"/>
            <w:color w:val="000000"/>
            <w:shd w:val="clear" w:color="auto" w:fill="FFFFFF"/>
          </w:rPr>
          <w:footnoteReference w:id="4"/>
        </w:r>
      </w:hyperlink>
      <w:r>
        <w:rPr>
          <w:color w:val="0E101A"/>
        </w:rPr>
        <w:t> It is based on whether we are Christlike or disciplined by Our Father (God).</w:t>
      </w:r>
      <w:r w:rsidRPr="001F6BF6">
        <w:rPr>
          <w:rStyle w:val="FootnoteReference"/>
          <w:color w:val="000000"/>
          <w:shd w:val="clear" w:color="auto" w:fill="FFFFFF"/>
        </w:rPr>
        <w:footnoteReference w:id="5"/>
      </w:r>
      <w:r>
        <w:rPr>
          <w:color w:val="0E101A"/>
        </w:rPr>
        <w:t xml:space="preserve"> On the other hand, the evidence of salvation is more about looking at the fruits of a person. If a person lives out their faith correctly, there must be good fruits to show for it. Finally, the security </w:t>
      </w:r>
      <w:r>
        <w:rPr>
          <w:color w:val="0E101A"/>
        </w:rPr>
        <w:lastRenderedPageBreak/>
        <w:t>of salvation refers to an individual realizing that Christ has already done what is sufficient to save us. There is nothing more to do. Paul writing to the Romans points them to this fact that there is no condemnation to those who are in Christ Jesus, neither is there anything that can separate them from the love of Christ (Rom 8:1, 31-39)</w:t>
      </w:r>
    </w:p>
    <w:p w14:paraId="7367AAD9" w14:textId="77777777" w:rsidR="00C07BA9" w:rsidRDefault="00C07BA9" w:rsidP="00C07BA9">
      <w:pPr>
        <w:pStyle w:val="NormalWeb"/>
        <w:spacing w:before="240" w:beforeAutospacing="0" w:after="0" w:afterAutospacing="0"/>
        <w:rPr>
          <w:color w:val="0E101A"/>
        </w:rPr>
      </w:pPr>
    </w:p>
    <w:p w14:paraId="140FC9C4" w14:textId="77777777" w:rsidR="00C07BA9" w:rsidRDefault="00C07BA9">
      <w:pPr>
        <w:rPr>
          <w:rFonts w:ascii="Times New Roman" w:hAnsi="Times New Roman" w:cs="Times New Roman"/>
          <w:sz w:val="24"/>
          <w:szCs w:val="24"/>
        </w:rPr>
      </w:pPr>
    </w:p>
    <w:p w14:paraId="190D270E" w14:textId="77777777" w:rsidR="00C07BA9" w:rsidRDefault="00C07BA9">
      <w:pPr>
        <w:rPr>
          <w:rFonts w:ascii="Times New Roman" w:hAnsi="Times New Roman" w:cs="Times New Roman"/>
          <w:sz w:val="24"/>
          <w:szCs w:val="24"/>
        </w:rPr>
      </w:pPr>
    </w:p>
    <w:p w14:paraId="1A39D55E" w14:textId="3FE7CC60" w:rsidR="00866FFA" w:rsidRPr="001F6BF6" w:rsidRDefault="00866FFA" w:rsidP="00866FFA">
      <w:pPr>
        <w:rPr>
          <w:rFonts w:ascii="Times New Roman" w:hAnsi="Times New Roman" w:cs="Times New Roman"/>
          <w:sz w:val="24"/>
          <w:szCs w:val="24"/>
        </w:rPr>
      </w:pPr>
    </w:p>
    <w:sectPr w:rsidR="00866FFA" w:rsidRPr="001F6BF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82057" w14:textId="77777777" w:rsidR="00F825EE" w:rsidRDefault="00F825EE" w:rsidP="00A17041">
      <w:pPr>
        <w:spacing w:after="0" w:line="240" w:lineRule="auto"/>
      </w:pPr>
      <w:r>
        <w:separator/>
      </w:r>
    </w:p>
  </w:endnote>
  <w:endnote w:type="continuationSeparator" w:id="0">
    <w:p w14:paraId="7C18D0DA" w14:textId="77777777" w:rsidR="00F825EE" w:rsidRDefault="00F825EE" w:rsidP="00A17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591BC" w14:textId="77777777" w:rsidR="00F825EE" w:rsidRDefault="00F825EE" w:rsidP="00A17041">
      <w:pPr>
        <w:spacing w:after="0" w:line="240" w:lineRule="auto"/>
      </w:pPr>
      <w:r>
        <w:separator/>
      </w:r>
    </w:p>
  </w:footnote>
  <w:footnote w:type="continuationSeparator" w:id="0">
    <w:p w14:paraId="09DD663F" w14:textId="77777777" w:rsidR="00F825EE" w:rsidRDefault="00F825EE" w:rsidP="00A17041">
      <w:pPr>
        <w:spacing w:after="0" w:line="240" w:lineRule="auto"/>
      </w:pPr>
      <w:r>
        <w:continuationSeparator/>
      </w:r>
    </w:p>
  </w:footnote>
  <w:footnote w:id="1">
    <w:p w14:paraId="1599A69A" w14:textId="77777777" w:rsidR="00C07BA9" w:rsidRPr="00923E71" w:rsidRDefault="00C07BA9" w:rsidP="00923E71">
      <w:pPr>
        <w:pStyle w:val="FootnoteText"/>
        <w:spacing w:before="240"/>
        <w:ind w:firstLine="720"/>
        <w:rPr>
          <w:rFonts w:ascii="Times New Roman" w:hAnsi="Times New Roman" w:cs="Times New Roman"/>
        </w:rPr>
      </w:pPr>
      <w:r w:rsidRPr="00923E71">
        <w:rPr>
          <w:rStyle w:val="FootnoteReference"/>
          <w:rFonts w:ascii="Times New Roman" w:hAnsi="Times New Roman" w:cs="Times New Roman"/>
        </w:rPr>
        <w:footnoteRef/>
      </w:r>
      <w:r w:rsidRPr="00923E71">
        <w:rPr>
          <w:rFonts w:ascii="Times New Roman" w:hAnsi="Times New Roman" w:cs="Times New Roman"/>
        </w:rPr>
        <w:t xml:space="preserve"> Unless otherwise noted, all biblical passages referenced are in the New International Version (Grand Rapids, MI: Zondervan, 2011).</w:t>
      </w:r>
    </w:p>
  </w:footnote>
  <w:footnote w:id="2">
    <w:p w14:paraId="5B4A51CB" w14:textId="77777777" w:rsidR="00C07BA9" w:rsidRPr="00923E71" w:rsidRDefault="00C07BA9" w:rsidP="00923E71">
      <w:pPr>
        <w:pStyle w:val="FootnoteText"/>
        <w:spacing w:before="240"/>
        <w:ind w:firstLine="720"/>
        <w:rPr>
          <w:rFonts w:ascii="Times New Roman" w:hAnsi="Times New Roman" w:cs="Times New Roman"/>
        </w:rPr>
      </w:pPr>
      <w:r w:rsidRPr="00923E71">
        <w:rPr>
          <w:rStyle w:val="FootnoteReference"/>
          <w:rFonts w:ascii="Times New Roman" w:hAnsi="Times New Roman" w:cs="Times New Roman"/>
        </w:rPr>
        <w:footnoteRef/>
      </w:r>
      <w:r w:rsidRPr="00923E71">
        <w:rPr>
          <w:rFonts w:ascii="Times New Roman" w:hAnsi="Times New Roman" w:cs="Times New Roman"/>
        </w:rPr>
        <w:t xml:space="preserve"> Millard J. Erickson, </w:t>
      </w:r>
      <w:r w:rsidRPr="00923E71">
        <w:rPr>
          <w:rFonts w:ascii="Times New Roman" w:hAnsi="Times New Roman" w:cs="Times New Roman"/>
          <w:i/>
          <w:iCs/>
        </w:rPr>
        <w:t>Christian Theology</w:t>
      </w:r>
      <w:r w:rsidRPr="00923E71">
        <w:rPr>
          <w:rFonts w:ascii="Times New Roman" w:hAnsi="Times New Roman" w:cs="Times New Roman"/>
        </w:rPr>
        <w:t>. 3rd ed. (Grand Rapids: Baker Academic, 2013), 795.</w:t>
      </w:r>
    </w:p>
  </w:footnote>
  <w:footnote w:id="3">
    <w:p w14:paraId="1B7E9963" w14:textId="77777777" w:rsidR="00C07BA9" w:rsidRPr="00923E71" w:rsidRDefault="00C07BA9" w:rsidP="00923E71">
      <w:pPr>
        <w:pStyle w:val="FootnoteText"/>
        <w:spacing w:before="240"/>
        <w:ind w:firstLine="720"/>
        <w:rPr>
          <w:rFonts w:ascii="Times New Roman" w:hAnsi="Times New Roman" w:cs="Times New Roman"/>
        </w:rPr>
      </w:pPr>
      <w:r w:rsidRPr="00923E71">
        <w:rPr>
          <w:rStyle w:val="FootnoteReference"/>
          <w:rFonts w:ascii="Times New Roman" w:hAnsi="Times New Roman" w:cs="Times New Roman"/>
        </w:rPr>
        <w:footnoteRef/>
      </w:r>
      <w:r w:rsidRPr="00923E71">
        <w:rPr>
          <w:rFonts w:ascii="Times New Roman" w:hAnsi="Times New Roman" w:cs="Times New Roman"/>
        </w:rPr>
        <w:t xml:space="preserve"> Ibid., 796.</w:t>
      </w:r>
    </w:p>
  </w:footnote>
  <w:footnote w:id="4">
    <w:p w14:paraId="482CA029" w14:textId="07D26DC9" w:rsidR="00C07BA9" w:rsidRPr="00923E71" w:rsidRDefault="00C07BA9" w:rsidP="00923E71">
      <w:pPr>
        <w:spacing w:before="240"/>
        <w:ind w:firstLine="720"/>
        <w:rPr>
          <w:rFonts w:ascii="Times New Roman" w:hAnsi="Times New Roman" w:cs="Times New Roman"/>
          <w:sz w:val="20"/>
          <w:szCs w:val="20"/>
        </w:rPr>
      </w:pPr>
      <w:r w:rsidRPr="00923E71">
        <w:rPr>
          <w:rStyle w:val="FootnoteReference"/>
          <w:rFonts w:ascii="Times New Roman" w:hAnsi="Times New Roman" w:cs="Times New Roman"/>
          <w:sz w:val="20"/>
          <w:szCs w:val="20"/>
        </w:rPr>
        <w:footnoteRef/>
      </w:r>
      <w:r w:rsidRPr="00923E71">
        <w:rPr>
          <w:rFonts w:ascii="Times New Roman" w:hAnsi="Times New Roman" w:cs="Times New Roman"/>
          <w:sz w:val="20"/>
          <w:szCs w:val="20"/>
        </w:rPr>
        <w:t xml:space="preserve"> Christopher Moody, “Assurance, Evidence</w:t>
      </w:r>
      <w:r w:rsidR="00923E71" w:rsidRPr="00923E71">
        <w:rPr>
          <w:rFonts w:ascii="Times New Roman" w:hAnsi="Times New Roman" w:cs="Times New Roman"/>
          <w:sz w:val="20"/>
          <w:szCs w:val="20"/>
        </w:rPr>
        <w:t xml:space="preserve">, and </w:t>
      </w:r>
      <w:r w:rsidRPr="00923E71">
        <w:rPr>
          <w:rFonts w:ascii="Times New Roman" w:hAnsi="Times New Roman" w:cs="Times New Roman"/>
          <w:sz w:val="20"/>
          <w:szCs w:val="20"/>
        </w:rPr>
        <w:t>Security of Salvation” (Course video in THEO 530 at Liberty University, Lynchburg, VA, September 16, 2021).</w:t>
      </w:r>
    </w:p>
  </w:footnote>
  <w:footnote w:id="5">
    <w:p w14:paraId="34E1F38F" w14:textId="77777777" w:rsidR="00C07BA9" w:rsidRPr="00923E71" w:rsidRDefault="00C07BA9" w:rsidP="00923E71">
      <w:pPr>
        <w:pStyle w:val="FootnoteText"/>
        <w:spacing w:before="240"/>
        <w:ind w:firstLine="720"/>
        <w:rPr>
          <w:rFonts w:ascii="Times New Roman" w:hAnsi="Times New Roman" w:cs="Times New Roman"/>
        </w:rPr>
      </w:pPr>
      <w:r w:rsidRPr="00923E71">
        <w:rPr>
          <w:rStyle w:val="FootnoteReference"/>
          <w:rFonts w:ascii="Times New Roman" w:hAnsi="Times New Roman" w:cs="Times New Roman"/>
        </w:rPr>
        <w:footnoteRef/>
      </w:r>
      <w:r w:rsidRPr="00923E71">
        <w:rPr>
          <w:rFonts w:ascii="Times New Roman" w:hAnsi="Times New Roman" w:cs="Times New Roman"/>
        </w:rPr>
        <w:t xml:space="preserve"> Ibid.</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FFA"/>
    <w:rsid w:val="001B4029"/>
    <w:rsid w:val="001C3A62"/>
    <w:rsid w:val="001F6BF6"/>
    <w:rsid w:val="002B6D4D"/>
    <w:rsid w:val="003D4E46"/>
    <w:rsid w:val="00506963"/>
    <w:rsid w:val="007A2B5C"/>
    <w:rsid w:val="007D714E"/>
    <w:rsid w:val="007E5EAF"/>
    <w:rsid w:val="00866FFA"/>
    <w:rsid w:val="00923E71"/>
    <w:rsid w:val="00A17041"/>
    <w:rsid w:val="00BF4BD9"/>
    <w:rsid w:val="00C06D7F"/>
    <w:rsid w:val="00C07BA9"/>
    <w:rsid w:val="00F576E7"/>
    <w:rsid w:val="00F75B29"/>
    <w:rsid w:val="00F82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044FA"/>
  <w15:chartTrackingRefBased/>
  <w15:docId w15:val="{04B1FAD6-55EB-4EB8-A7D1-776093BA7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170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17041"/>
    <w:rPr>
      <w:sz w:val="20"/>
      <w:szCs w:val="20"/>
    </w:rPr>
  </w:style>
  <w:style w:type="character" w:styleId="FootnoteReference">
    <w:name w:val="footnote reference"/>
    <w:basedOn w:val="DefaultParagraphFont"/>
    <w:uiPriority w:val="99"/>
    <w:semiHidden/>
    <w:unhideWhenUsed/>
    <w:rsid w:val="00A17041"/>
    <w:rPr>
      <w:vertAlign w:val="superscript"/>
    </w:rPr>
  </w:style>
  <w:style w:type="paragraph" w:styleId="NormalWeb">
    <w:name w:val="Normal (Web)"/>
    <w:basedOn w:val="Normal"/>
    <w:uiPriority w:val="99"/>
    <w:semiHidden/>
    <w:unhideWhenUsed/>
    <w:rsid w:val="00C07BA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07B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6589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B4B47F4-01F8-4919-93AE-22CB110B4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2</Pages>
  <Words>522</Words>
  <Characters>2979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2021-09-16T19:41:00Z</dcterms:created>
  <dcterms:modified xsi:type="dcterms:W3CDTF">2021-09-16T22:56:00Z</dcterms:modified>
</cp:coreProperties>
</file>