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A7029" w14:textId="00C4B171" w:rsidR="003E14AC" w:rsidRDefault="003E14AC" w:rsidP="003E14AC">
      <w:pPr>
        <w:pStyle w:val="NormalWeb"/>
        <w:spacing w:before="0" w:beforeAutospacing="0" w:after="0" w:afterAutospacing="0"/>
        <w:rPr>
          <w:color w:val="0E101A"/>
        </w:rPr>
      </w:pPr>
      <w:r>
        <w:rPr>
          <w:color w:val="0E101A"/>
        </w:rPr>
        <w:t>As a Kenyan, I have to admit that I have not interacted with people who subscribe to gay Christianity. Furthermore, I will have to admit that reading Michael Brown’s book </w:t>
      </w:r>
      <w:r>
        <w:rPr>
          <w:rStyle w:val="Emphasis"/>
          <w:color w:val="0E101A"/>
        </w:rPr>
        <w:t>Can You Be Gay and Christian </w:t>
      </w:r>
      <w:r>
        <w:rPr>
          <w:color w:val="0E101A"/>
        </w:rPr>
        <w:t>was mind-boggling. I am still trying to come to terms with the information in this book. But precisely, I am beyond words upset at the things I read in this book. It is unbelievable that Christianity has stooped so low to this level of utter deception. Of all the ten chapters, I find chapter two that handles the argument of "do not judge" as the most enlightening.</w:t>
      </w:r>
      <w:r w:rsidRPr="00E413C6">
        <w:rPr>
          <w:rStyle w:val="FootnoteReference"/>
        </w:rPr>
        <w:footnoteReference w:id="1"/>
      </w:r>
      <w:r>
        <w:rPr>
          <w:color w:val="0E101A"/>
        </w:rPr>
        <w:t xml:space="preserve"> </w:t>
      </w:r>
      <w:r>
        <w:rPr>
          <w:color w:val="0E101A"/>
        </w:rPr>
        <w:t>While I have not interacted with any member of the gay community to know how they feel judged by Christians, I can attest to the frequent use of the phrase “do not judge” in my Christian circles. In my context, I have come to observe that if someone throws at you the phrase, “do not judge,” it simply means the flesh has done it again. Otherwise, people hardly say “do not judge” when they are walking right with God. They only say that when they know that they have been walking in the flesh. In saying this, I do not mean to excuse the ungodly habit of being judgmental. Not at all. Rather, I mean that this phrase is often used to silence rebuke or correction and instead encourage the wrong vice at hand. The Bible expressly teaches that among other things, the word of God is inspired by God to rebuke and correct God’s people so that they may be complete and equipped for every good work (2 Tim 3:16, NIV).</w:t>
      </w:r>
      <w:r w:rsidRPr="00E413C6">
        <w:rPr>
          <w:rStyle w:val="FootnoteReference"/>
        </w:rPr>
        <w:footnoteReference w:id="2"/>
      </w:r>
      <w:r>
        <w:rPr>
          <w:color w:val="0E101A"/>
        </w:rPr>
        <w:t> Without recognizing the difference between right and wrong, we cannot be able to rebuke or correct someone. The idea of rebuking sin is not meant to drive people into suicide as proponents of homosexuality claim. Instead, the idea is to bring them back to the fold. It is to bring them to a state of wholeness. Thus, if the church rebukes someone and they commit suicide, most likely it is because they did not do it out of love or the person had other serious underlying problems that necessitated such action. But it can never be that someone (with no underlying issues) rebuked in God’s way should commit suicide.</w:t>
      </w:r>
    </w:p>
    <w:p w14:paraId="2D5D9077" w14:textId="46120CF4" w:rsidR="003E14AC" w:rsidRDefault="003E14AC" w:rsidP="003E14AC">
      <w:pPr>
        <w:pStyle w:val="NormalWeb"/>
        <w:spacing w:before="0" w:beforeAutospacing="0" w:after="0" w:afterAutospacing="0"/>
        <w:rPr>
          <w:color w:val="0E101A"/>
        </w:rPr>
      </w:pPr>
      <w:r>
        <w:rPr>
          <w:color w:val="0E101A"/>
        </w:rPr>
        <w:t>Also, another way to respond to the do not judge argument is by looking at its origin. I suspect, most people who quote this argument have a Matthew 7:1-2 background. However, a careful and exegetical study of the two verses reveals that many people misquote or misrepresent these verses when they pull out the do not judge card. John Stott, the departed spiritual genius and leader of the worldwide evangelical movement, commenting on Matthew 7:1-2 avers, “Next, our Lord’s injunction to ‘judge not’ cannot be understood as a command to suspend our critical faculties in relation to other people, to turn a blind eye to their faults (pretending not to notice them), to eschew all criticism and to refuse to discern between truth and error, goodness and evil. How can we be sure that Jesus was not referring to these things? Partly because it would not be honest to behave like this, but hypocritical, and we know from this and other passages his love of integrity and hatred of hypocrisy. Partly because it would contradict the nature of man whose creation in God’s image includes the ability to make value-judgments. Partly also because much of Christ’s teaching in the Sermon on the Mount is based on the assumption that we will (indeed should) use our critical powers.”</w:t>
      </w:r>
      <w:r w:rsidRPr="00E413C6">
        <w:rPr>
          <w:rStyle w:val="FootnoteReference"/>
        </w:rPr>
        <w:footnoteReference w:id="3"/>
      </w:r>
    </w:p>
    <w:p w14:paraId="797BE837" w14:textId="77777777" w:rsidR="003E14AC" w:rsidRDefault="003E14AC" w:rsidP="003E14AC">
      <w:pPr>
        <w:pStyle w:val="NormalWeb"/>
        <w:spacing w:before="0" w:beforeAutospacing="0" w:after="0" w:afterAutospacing="0"/>
        <w:rPr>
          <w:color w:val="0E101A"/>
        </w:rPr>
      </w:pPr>
      <w:r>
        <w:rPr>
          <w:color w:val="0E101A"/>
        </w:rPr>
        <w:lastRenderedPageBreak/>
        <w:t>Therefore, when engaging the gay community, it should be abundantly clear that being judgmental is wrong. Using hateful words is unbiblical but recognizing and rebuking sin in love and truth is biblical. </w:t>
      </w:r>
    </w:p>
    <w:p w14:paraId="21886EA8" w14:textId="77777777" w:rsidR="003E14AC" w:rsidRDefault="003E14AC" w:rsidP="003E14AC">
      <w:pPr>
        <w:pStyle w:val="NormalWeb"/>
        <w:spacing w:before="0" w:beforeAutospacing="0" w:after="0" w:afterAutospacing="0"/>
        <w:rPr>
          <w:color w:val="0E101A"/>
        </w:rPr>
      </w:pPr>
    </w:p>
    <w:p w14:paraId="3ABC270E" w14:textId="3D87CA3A" w:rsidR="00A22749" w:rsidRPr="00E413C6" w:rsidRDefault="00A22749" w:rsidP="00C113C7">
      <w:pPr>
        <w:ind w:firstLine="720"/>
        <w:rPr>
          <w:rFonts w:ascii="Times New Roman" w:hAnsi="Times New Roman" w:cs="Times New Roman"/>
          <w:sz w:val="24"/>
          <w:szCs w:val="24"/>
        </w:rPr>
      </w:pPr>
      <w:r w:rsidRPr="00E413C6">
        <w:rPr>
          <w:rFonts w:ascii="Times New Roman" w:hAnsi="Times New Roman" w:cs="Times New Roman"/>
          <w:sz w:val="24"/>
          <w:szCs w:val="24"/>
        </w:rPr>
        <w:t xml:space="preserve"> </w:t>
      </w:r>
    </w:p>
    <w:sectPr w:rsidR="00A22749" w:rsidRPr="00E413C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73F80B" w14:textId="77777777" w:rsidR="00942B8D" w:rsidRDefault="00942B8D" w:rsidP="006200EA">
      <w:pPr>
        <w:spacing w:after="0" w:line="240" w:lineRule="auto"/>
      </w:pPr>
      <w:r>
        <w:separator/>
      </w:r>
    </w:p>
  </w:endnote>
  <w:endnote w:type="continuationSeparator" w:id="0">
    <w:p w14:paraId="67B05296" w14:textId="77777777" w:rsidR="00942B8D" w:rsidRDefault="00942B8D" w:rsidP="006200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AD738B" w14:textId="77777777" w:rsidR="00942B8D" w:rsidRDefault="00942B8D" w:rsidP="006200EA">
      <w:pPr>
        <w:spacing w:after="0" w:line="240" w:lineRule="auto"/>
      </w:pPr>
      <w:r>
        <w:separator/>
      </w:r>
    </w:p>
  </w:footnote>
  <w:footnote w:type="continuationSeparator" w:id="0">
    <w:p w14:paraId="051FBDDE" w14:textId="77777777" w:rsidR="00942B8D" w:rsidRDefault="00942B8D" w:rsidP="006200EA">
      <w:pPr>
        <w:spacing w:after="0" w:line="240" w:lineRule="auto"/>
      </w:pPr>
      <w:r>
        <w:continuationSeparator/>
      </w:r>
    </w:p>
  </w:footnote>
  <w:footnote w:id="1">
    <w:p w14:paraId="4D19022A" w14:textId="77777777" w:rsidR="003E14AC" w:rsidRDefault="003E14AC" w:rsidP="003E14AC">
      <w:pPr>
        <w:pStyle w:val="FootnoteText"/>
        <w:spacing w:before="240"/>
        <w:ind w:firstLine="720"/>
      </w:pPr>
      <w:r>
        <w:rPr>
          <w:rStyle w:val="FootnoteReference"/>
        </w:rPr>
        <w:footnoteRef/>
      </w:r>
      <w:r>
        <w:t xml:space="preserve"> </w:t>
      </w:r>
      <w:r>
        <w:rPr>
          <w:rFonts w:ascii="Roboto" w:hAnsi="Roboto"/>
          <w:color w:val="212529"/>
          <w:shd w:val="clear" w:color="auto" w:fill="FFFFFF"/>
        </w:rPr>
        <w:t xml:space="preserve">Michael L. Brown, “To Judge or Not to Judge?” in </w:t>
      </w:r>
      <w:r>
        <w:rPr>
          <w:rStyle w:val="Emphasis"/>
          <w:rFonts w:ascii="Roboto" w:hAnsi="Roboto"/>
          <w:color w:val="212529"/>
          <w:shd w:val="clear" w:color="auto" w:fill="FFFFFF"/>
        </w:rPr>
        <w:t>Can You Be Gay and Christian? Responding with Love and Truth to Questions About Homosexuality</w:t>
      </w:r>
      <w:r>
        <w:rPr>
          <w:rFonts w:ascii="Roboto" w:hAnsi="Roboto"/>
          <w:color w:val="212529"/>
          <w:shd w:val="clear" w:color="auto" w:fill="FFFFFF"/>
        </w:rPr>
        <w:t xml:space="preserve"> (Lake Mary: Charisma Publishing, 2014).</w:t>
      </w:r>
    </w:p>
  </w:footnote>
  <w:footnote w:id="2">
    <w:p w14:paraId="6FF24A62" w14:textId="77777777" w:rsidR="003E14AC" w:rsidRDefault="003E14AC" w:rsidP="003E14AC">
      <w:pPr>
        <w:pStyle w:val="FootnoteText"/>
        <w:spacing w:before="240"/>
        <w:ind w:firstLine="720"/>
      </w:pPr>
      <w:r>
        <w:rPr>
          <w:rStyle w:val="FootnoteReference"/>
        </w:rPr>
        <w:footnoteRef/>
      </w:r>
      <w:r>
        <w:t xml:space="preserve"> </w:t>
      </w:r>
      <w:r w:rsidRPr="00923E71">
        <w:rPr>
          <w:rFonts w:ascii="Times New Roman" w:hAnsi="Times New Roman" w:cs="Times New Roman"/>
        </w:rPr>
        <w:t xml:space="preserve">Unless otherwise noted, all biblical passages referenced are in the </w:t>
      </w:r>
      <w:r w:rsidRPr="00B07403">
        <w:rPr>
          <w:rFonts w:ascii="Times New Roman" w:hAnsi="Times New Roman" w:cs="Times New Roman"/>
          <w:i/>
          <w:iCs/>
        </w:rPr>
        <w:t xml:space="preserve">New International Version </w:t>
      </w:r>
      <w:r w:rsidRPr="00923E71">
        <w:rPr>
          <w:rFonts w:ascii="Times New Roman" w:hAnsi="Times New Roman" w:cs="Times New Roman"/>
        </w:rPr>
        <w:t>(Grand Rapids, MI: Zondervan, 2011).</w:t>
      </w:r>
    </w:p>
  </w:footnote>
  <w:footnote w:id="3">
    <w:p w14:paraId="5DC11F8D" w14:textId="77777777" w:rsidR="003E14AC" w:rsidRDefault="003E14AC" w:rsidP="003E14AC">
      <w:pPr>
        <w:pStyle w:val="FootnoteText"/>
        <w:spacing w:before="240"/>
        <w:ind w:firstLine="720"/>
      </w:pPr>
      <w:r>
        <w:rPr>
          <w:rStyle w:val="FootnoteReference"/>
        </w:rPr>
        <w:footnoteRef/>
      </w:r>
      <w:r>
        <w:t xml:space="preserve"> </w:t>
      </w:r>
      <w:r w:rsidRPr="00B07403">
        <w:t>John</w:t>
      </w:r>
      <w:r>
        <w:t xml:space="preserve"> </w:t>
      </w:r>
      <w:r w:rsidRPr="00B07403">
        <w:t xml:space="preserve">Stott, </w:t>
      </w:r>
      <w:r w:rsidRPr="00B07403">
        <w:rPr>
          <w:i/>
          <w:iCs/>
        </w:rPr>
        <w:t>The Message of the Sermon on the Mount</w:t>
      </w:r>
      <w:r>
        <w:t xml:space="preserve"> (</w:t>
      </w:r>
      <w:r w:rsidRPr="00B07403">
        <w:t>Downers Grove: InterVarsity Press, 1985</w:t>
      </w:r>
      <w:r>
        <w:t>), 70</w:t>
      </w:r>
      <w:r w:rsidRPr="00B07403">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2DA4"/>
    <w:rsid w:val="001A27C2"/>
    <w:rsid w:val="003E14AC"/>
    <w:rsid w:val="00452DA4"/>
    <w:rsid w:val="00467D32"/>
    <w:rsid w:val="005D4261"/>
    <w:rsid w:val="00607169"/>
    <w:rsid w:val="006200EA"/>
    <w:rsid w:val="00942B8D"/>
    <w:rsid w:val="00A22749"/>
    <w:rsid w:val="00AE1405"/>
    <w:rsid w:val="00B07403"/>
    <w:rsid w:val="00C113C7"/>
    <w:rsid w:val="00E413C6"/>
    <w:rsid w:val="00EA57E4"/>
    <w:rsid w:val="00ED40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77F2C"/>
  <w15:chartTrackingRefBased/>
  <w15:docId w15:val="{89DD6832-630C-4F7F-9364-B545055EF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6200E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00EA"/>
    <w:rPr>
      <w:sz w:val="20"/>
      <w:szCs w:val="20"/>
    </w:rPr>
  </w:style>
  <w:style w:type="character" w:styleId="FootnoteReference">
    <w:name w:val="footnote reference"/>
    <w:basedOn w:val="DefaultParagraphFont"/>
    <w:uiPriority w:val="99"/>
    <w:semiHidden/>
    <w:unhideWhenUsed/>
    <w:rsid w:val="006200EA"/>
    <w:rPr>
      <w:vertAlign w:val="superscript"/>
    </w:rPr>
  </w:style>
  <w:style w:type="character" w:styleId="Emphasis">
    <w:name w:val="Emphasis"/>
    <w:basedOn w:val="DefaultParagraphFont"/>
    <w:uiPriority w:val="20"/>
    <w:qFormat/>
    <w:rsid w:val="006200EA"/>
    <w:rPr>
      <w:i/>
      <w:iCs/>
    </w:rPr>
  </w:style>
  <w:style w:type="paragraph" w:styleId="NormalWeb">
    <w:name w:val="Normal (Web)"/>
    <w:basedOn w:val="Normal"/>
    <w:uiPriority w:val="99"/>
    <w:semiHidden/>
    <w:unhideWhenUsed/>
    <w:rsid w:val="003E14A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E14A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6855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1513</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2021-09-30T19:10:00Z</dcterms:created>
  <dcterms:modified xsi:type="dcterms:W3CDTF">2021-10-01T20:24:00Z</dcterms:modified>
</cp:coreProperties>
</file>