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0BD8D" w14:textId="77777777" w:rsidR="00E57F36" w:rsidRDefault="00E57F36" w:rsidP="00E57F36">
      <w:pPr>
        <w:pStyle w:val="NormalWeb"/>
        <w:spacing w:before="0" w:beforeAutospacing="0" w:after="0" w:afterAutospacing="0"/>
        <w:rPr>
          <w:color w:val="0E101A"/>
        </w:rPr>
      </w:pPr>
      <w:r>
        <w:rPr>
          <w:color w:val="0E101A"/>
        </w:rPr>
        <w:t>Hello Michael Rodriquez,</w:t>
      </w:r>
    </w:p>
    <w:p w14:paraId="28E48F15" w14:textId="2AF08026" w:rsidR="00E57F36" w:rsidRDefault="00E57F36" w:rsidP="00E57F36">
      <w:pPr>
        <w:pStyle w:val="NormalWeb"/>
        <w:spacing w:before="0" w:beforeAutospacing="0" w:after="0" w:afterAutospacing="0"/>
        <w:rPr>
          <w:color w:val="0E101A"/>
        </w:rPr>
      </w:pPr>
      <w:r>
        <w:rPr>
          <w:color w:val="0E101A"/>
        </w:rPr>
        <w:t xml:space="preserve">I appreciate the conviction you have brought into this discussion. Particularly, your thread raised an argument that I have also felt needs to be looked into when discussing the state of youth ministries in churches. You have rightly observed that “The outcome has led to age-segregated programming, leaving the church and family going in entirely different directions.” I could not agree more. In this regard, it is my position that churches must be careful not to disintegrate the spiritual unity of homes in the name of contextualization. In the church I serve as a pastor, our segregated programs caused us a lot of problems that we had to fine-tune. One of the problematic issues we noticed is that the teens and </w:t>
      </w:r>
      <w:proofErr w:type="spellStart"/>
      <w:r>
        <w:rPr>
          <w:color w:val="0E101A"/>
        </w:rPr>
        <w:t>collegers</w:t>
      </w:r>
      <w:proofErr w:type="spellEnd"/>
      <w:r>
        <w:rPr>
          <w:color w:val="0E101A"/>
        </w:rPr>
        <w:t xml:space="preserve"> did not want to leave their programs even when they had exceeded the required age. As a result, the family service lost its aura of the family. Secondly, we noticed that minimal discipleship was happening as the older and younger generation did not meet at any point of church gathering. The discovery was against what the Bible teaches. Paul admonished the young pastor Titus and said, “Likewise, teach the older women to be reverent in the way they live, not to be slanderers or addicted to much wine, but to teach what is good. Then they can urge the younger women to love their husbands and children, to be self-controlled and pure, to be busy at home, to be kind, and to be subject to their husbands, so that no one will malign the word of God (Titus 2:3-5, NIV).</w:t>
      </w:r>
      <w:r>
        <w:rPr>
          <w:rStyle w:val="FootnoteReference"/>
          <w:rFonts w:ascii="Segoe UI" w:hAnsi="Segoe UI" w:cs="Segoe UI"/>
          <w:color w:val="000000"/>
          <w:shd w:val="clear" w:color="auto" w:fill="FFFFFF"/>
        </w:rPr>
        <w:footnoteReference w:id="1"/>
      </w:r>
      <w:r>
        <w:rPr>
          <w:color w:val="0E101A"/>
        </w:rPr>
        <w:t> In saying this, Paul recognized the importance of having old and young generations interacting. I do not think he was against young people doing their own thing. Rather, he was encouraging the church to create opportunities in which the whole family could be involved. By doing this, the parents and older generation would find opportunities to impart wisdom to the young people. </w:t>
      </w:r>
    </w:p>
    <w:p w14:paraId="26B0F54A" w14:textId="77777777" w:rsidR="00E57F36" w:rsidRDefault="00E57F36"/>
    <w:p w14:paraId="4E4F7A47" w14:textId="77777777" w:rsidR="00E57F36" w:rsidRDefault="00E57F36"/>
    <w:p w14:paraId="28D233CD" w14:textId="119BFC99" w:rsidR="004511BD" w:rsidRPr="004E652A" w:rsidRDefault="0097735D">
      <w:pPr>
        <w:rPr>
          <w:rFonts w:ascii="Segoe UI" w:hAnsi="Segoe UI" w:cs="Segoe UI"/>
          <w:color w:val="000000"/>
          <w:shd w:val="clear" w:color="auto" w:fill="FFFFFF"/>
        </w:rPr>
      </w:pPr>
      <w:r>
        <w:rPr>
          <w:rStyle w:val="text"/>
          <w:rFonts w:ascii="Segoe UI" w:hAnsi="Segoe UI" w:cs="Segoe UI"/>
          <w:color w:val="000000"/>
          <w:shd w:val="clear" w:color="auto" w:fill="FFFFFF"/>
        </w:rPr>
        <w:t xml:space="preserve"> </w:t>
      </w:r>
    </w:p>
    <w:sectPr w:rsidR="004511BD" w:rsidRPr="004E65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F8F0F" w14:textId="77777777" w:rsidR="00327CA9" w:rsidRDefault="00327CA9" w:rsidP="004E652A">
      <w:pPr>
        <w:spacing w:after="0" w:line="240" w:lineRule="auto"/>
      </w:pPr>
      <w:r>
        <w:separator/>
      </w:r>
    </w:p>
  </w:endnote>
  <w:endnote w:type="continuationSeparator" w:id="0">
    <w:p w14:paraId="67347ECB" w14:textId="77777777" w:rsidR="00327CA9" w:rsidRDefault="00327CA9" w:rsidP="004E6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7A014" w14:textId="77777777" w:rsidR="00327CA9" w:rsidRDefault="00327CA9" w:rsidP="004E652A">
      <w:pPr>
        <w:spacing w:after="0" w:line="240" w:lineRule="auto"/>
      </w:pPr>
      <w:r>
        <w:separator/>
      </w:r>
    </w:p>
  </w:footnote>
  <w:footnote w:type="continuationSeparator" w:id="0">
    <w:p w14:paraId="41026835" w14:textId="77777777" w:rsidR="00327CA9" w:rsidRDefault="00327CA9" w:rsidP="004E652A">
      <w:pPr>
        <w:spacing w:after="0" w:line="240" w:lineRule="auto"/>
      </w:pPr>
      <w:r>
        <w:continuationSeparator/>
      </w:r>
    </w:p>
  </w:footnote>
  <w:footnote w:id="1">
    <w:p w14:paraId="670C3280" w14:textId="77777777" w:rsidR="00E57F36" w:rsidRDefault="00E57F36" w:rsidP="00E57F36">
      <w:pPr>
        <w:pStyle w:val="FootnoteText"/>
      </w:pPr>
      <w:r>
        <w:rPr>
          <w:rStyle w:val="FootnoteReference"/>
        </w:rPr>
        <w:footnoteRef/>
      </w:r>
      <w:r>
        <w:t xml:space="preserve"> </w:t>
      </w:r>
      <w:r w:rsidRPr="007F1FDE">
        <w:rPr>
          <w:rFonts w:ascii="Times New Roman" w:hAnsi="Times New Roman" w:cs="Times New Roman"/>
        </w:rPr>
        <w:t xml:space="preserve">Unless otherwise noted, all biblical passages referenced are in the </w:t>
      </w:r>
      <w:r w:rsidRPr="007F1FDE">
        <w:rPr>
          <w:rFonts w:ascii="Times New Roman" w:hAnsi="Times New Roman" w:cs="Times New Roman"/>
          <w:i/>
          <w:iCs/>
        </w:rPr>
        <w:t>New International Version</w:t>
      </w:r>
      <w:r w:rsidRPr="007F1FDE">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1BD"/>
    <w:rsid w:val="00196727"/>
    <w:rsid w:val="002B11E5"/>
    <w:rsid w:val="00327CA9"/>
    <w:rsid w:val="004511BD"/>
    <w:rsid w:val="004E652A"/>
    <w:rsid w:val="00843FBD"/>
    <w:rsid w:val="0097735D"/>
    <w:rsid w:val="009F593B"/>
    <w:rsid w:val="00CB00A8"/>
    <w:rsid w:val="00E24BFD"/>
    <w:rsid w:val="00E5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A104C"/>
  <w15:chartTrackingRefBased/>
  <w15:docId w15:val="{B685B6CA-7F58-4E35-98A2-1F50B1E82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196727"/>
  </w:style>
  <w:style w:type="paragraph" w:styleId="FootnoteText">
    <w:name w:val="footnote text"/>
    <w:basedOn w:val="Normal"/>
    <w:link w:val="FootnoteTextChar"/>
    <w:uiPriority w:val="99"/>
    <w:semiHidden/>
    <w:unhideWhenUsed/>
    <w:rsid w:val="004E65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652A"/>
    <w:rPr>
      <w:sz w:val="20"/>
      <w:szCs w:val="20"/>
    </w:rPr>
  </w:style>
  <w:style w:type="character" w:styleId="FootnoteReference">
    <w:name w:val="footnote reference"/>
    <w:basedOn w:val="DefaultParagraphFont"/>
    <w:uiPriority w:val="99"/>
    <w:semiHidden/>
    <w:unhideWhenUsed/>
    <w:rsid w:val="004E652A"/>
    <w:rPr>
      <w:vertAlign w:val="superscript"/>
    </w:rPr>
  </w:style>
  <w:style w:type="paragraph" w:styleId="NormalWeb">
    <w:name w:val="Normal (Web)"/>
    <w:basedOn w:val="Normal"/>
    <w:uiPriority w:val="99"/>
    <w:semiHidden/>
    <w:unhideWhenUsed/>
    <w:rsid w:val="00E57F3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7F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87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EC7D917-D67A-44F1-8B4F-3F553D367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2022-01-16T12:07:00Z</dcterms:created>
  <dcterms:modified xsi:type="dcterms:W3CDTF">2022-01-16T17:55:00Z</dcterms:modified>
</cp:coreProperties>
</file>