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ECAD7" w14:textId="21FEBE5F" w:rsidR="00AA40B7" w:rsidRDefault="00AA40B7" w:rsidP="00AA40B7">
      <w:pPr>
        <w:pStyle w:val="NormalWeb"/>
        <w:spacing w:before="0" w:beforeAutospacing="0" w:after="240" w:afterAutospacing="0"/>
        <w:rPr>
          <w:color w:val="0E101A"/>
        </w:rPr>
      </w:pPr>
      <w:r>
        <w:rPr>
          <w:color w:val="0E101A"/>
        </w:rPr>
        <w:t>The basic definition of a family unit implies that youths are a component. As such, therefore, a family unit cannot be considered successful if one of its components, the youth, is ignored. Similarly, a youth ministry cannot run properly without operating in the context of a family. In my view, I think the family unit is the place to start for youth ministry, especially where parents are Christians. Away from parents paying up for youth programs, they also have the grandest opportunity to share the gospel with youths, beginning from home and into the church. In my understanding, this was God’s original and intended idea. To this day, God wants parents to inculcate his word in children. Moses says, “And you must commit yourselves wholeheartedly to these commands that I am giving you today. Repeat them again and again to your children. Talk about them when you are at home and when you are on the road, when you are going to bed and when you are getting up” (Deut. 6,7, NLT. see also Gen 18:19; Deut 4:9, 11:9, 32:46, and Ps. 78:3-8).</w:t>
      </w:r>
      <w:r>
        <w:rPr>
          <w:rStyle w:val="FootnoteReference"/>
        </w:rPr>
        <w:footnoteReference w:id="1"/>
      </w:r>
      <w:r>
        <w:rPr>
          <w:color w:val="0E101A"/>
        </w:rPr>
        <w:t> In light of all these scriptural pieces of evidence, I see then no reason not to support a partnership between youth ministry and family. Besides, common sense tells me that youth ministries will greatly benefit if they use the resourcefulness of parents to reach out to young people. A study sponsored by the Gheens Center for Christian Family Ministry indicated that more than 90 percent of parents wanted to answer their children’s biblical and theological questions.</w:t>
      </w:r>
      <w:r>
        <w:rPr>
          <w:rStyle w:val="FootnoteReference"/>
        </w:rPr>
        <w:footnoteReference w:id="2"/>
      </w:r>
      <w:r>
        <w:rPr>
          <w:color w:val="0E101A"/>
        </w:rPr>
        <w:t xml:space="preserve"> Now, this is an overwhelming percentage. In a nutshell, it strongly suggests that parents are seriously interested in the spiritual lives of their children, and so if equipped, they can do a meticulous job of discipling </w:t>
      </w:r>
      <w:r>
        <w:rPr>
          <w:color w:val="0E101A"/>
        </w:rPr>
        <w:t>them</w:t>
      </w:r>
      <w:r>
        <w:rPr>
          <w:color w:val="0E101A"/>
        </w:rPr>
        <w:t>.</w:t>
      </w:r>
    </w:p>
    <w:p w14:paraId="72585692" w14:textId="4764CE62" w:rsidR="00AA40B7" w:rsidRDefault="00AA40B7" w:rsidP="00AA40B7">
      <w:pPr>
        <w:pStyle w:val="NormalWeb"/>
        <w:spacing w:before="0" w:beforeAutospacing="0" w:after="240" w:afterAutospacing="0"/>
        <w:rPr>
          <w:color w:val="0E101A"/>
        </w:rPr>
      </w:pPr>
      <w:r>
        <w:rPr>
          <w:color w:val="0E101A"/>
        </w:rPr>
        <w:t>Finally, I argue for a partnership between youth ministry and the family because youth ministry also can be resourceful to the family. Whereas many parents might be interested in helping their children develop a deeper relationship with God, most of them have not undergone extensive training compared to youth ministers. Generally, youth ministers have attended the seminary, but that is not the case with most parents. Most parents are theologically illiterate. To make matters worse, they do not prioritize children’s spiritual needs. Gheens Center for Christian Family Ministry study indicated that a staggering two-thirds of parents admitted that family devotions or worship times were not a priority in their schedules.</w:t>
      </w:r>
      <w:hyperlink w:anchor="_ftn3" w:tgtFrame="_blank" w:history="1">
        <w:r>
          <w:rPr>
            <w:rStyle w:val="FootnoteReference"/>
          </w:rPr>
          <w:footnoteReference w:id="3"/>
        </w:r>
        <w:r>
          <w:rPr>
            <w:rStyle w:val="Hyperlink"/>
            <w:color w:val="4A6EE0"/>
          </w:rPr>
          <w:t xml:space="preserve"> </w:t>
        </w:r>
      </w:hyperlink>
      <w:r>
        <w:rPr>
          <w:color w:val="0E101A"/>
        </w:rPr>
        <w:t xml:space="preserve">Making sense of the two statistics, it is plausible to conclude that there is a disconnect between what parents </w:t>
      </w:r>
      <w:r>
        <w:rPr>
          <w:color w:val="0E101A"/>
        </w:rPr>
        <w:t>want</w:t>
      </w:r>
      <w:r>
        <w:rPr>
          <w:color w:val="0E101A"/>
        </w:rPr>
        <w:t xml:space="preserve"> and their commitment. Aaron Gaston suggests reactivating the family as the solution.</w:t>
      </w:r>
      <w:r>
        <w:rPr>
          <w:rStyle w:val="FootnoteReference"/>
        </w:rPr>
        <w:footnoteReference w:id="4"/>
      </w:r>
      <w:r>
        <w:rPr>
          <w:color w:val="0E101A"/>
        </w:rPr>
        <w:t> To reactivate the family involves training and equipping parents to be disciple-makers. </w:t>
      </w:r>
    </w:p>
    <w:p w14:paraId="41FE0F49" w14:textId="650EECE1" w:rsidR="00AA40B7" w:rsidRDefault="00AA40B7" w:rsidP="00AA40B7">
      <w:pPr>
        <w:pStyle w:val="NormalWeb"/>
        <w:spacing w:before="0" w:beforeAutospacing="0" w:after="240" w:afterAutospacing="0"/>
        <w:rPr>
          <w:color w:val="0E101A"/>
        </w:rPr>
      </w:pPr>
      <w:r>
        <w:rPr>
          <w:color w:val="0E101A"/>
        </w:rPr>
        <w:t xml:space="preserve">That being said, the family-youth ministry partnership has the potential to bring harm to the youth ministry. In particular, if parents are unchecked, they tend to oppose a new direction that the youth ministers may have. In the long run, this may cause the ministry to stagnate. For instance, if a youth minister wants to refocus the youth ministry by dropping a certain program </w:t>
      </w:r>
      <w:r>
        <w:rPr>
          <w:color w:val="0E101A"/>
        </w:rPr>
        <w:lastRenderedPageBreak/>
        <w:t>that he feels does not add any value to the overall mandate of the youth ministry, parents who</w:t>
      </w:r>
      <w:r w:rsidR="00DA2E1B">
        <w:rPr>
          <w:color w:val="0E101A"/>
        </w:rPr>
        <w:t xml:space="preserve"> like</w:t>
      </w:r>
      <w:r>
        <w:rPr>
          <w:color w:val="0E101A"/>
        </w:rPr>
        <w:t xml:space="preserve"> th</w:t>
      </w:r>
      <w:r w:rsidR="00041122">
        <w:rPr>
          <w:color w:val="0E101A"/>
        </w:rPr>
        <w:t>at</w:t>
      </w:r>
      <w:r>
        <w:rPr>
          <w:color w:val="0E101A"/>
        </w:rPr>
        <w:t xml:space="preserve"> program may actively </w:t>
      </w:r>
      <w:r>
        <w:rPr>
          <w:color w:val="0E101A"/>
        </w:rPr>
        <w:t>derail</w:t>
      </w:r>
      <w:r>
        <w:rPr>
          <w:color w:val="0E101A"/>
        </w:rPr>
        <w:t xml:space="preserve"> him. </w:t>
      </w:r>
    </w:p>
    <w:p w14:paraId="4A9D31D2" w14:textId="77777777" w:rsidR="00AA40B7" w:rsidRDefault="00AA40B7" w:rsidP="00AA40B7">
      <w:pPr>
        <w:pStyle w:val="NormalWeb"/>
        <w:spacing w:before="0" w:beforeAutospacing="0" w:after="240" w:afterAutospacing="0"/>
        <w:rPr>
          <w:color w:val="0E101A"/>
        </w:rPr>
      </w:pPr>
    </w:p>
    <w:p w14:paraId="3D1D19A8" w14:textId="77777777" w:rsidR="00AA40B7" w:rsidRDefault="00AA40B7" w:rsidP="00472126"/>
    <w:p w14:paraId="39BA5C7F" w14:textId="77777777" w:rsidR="00AA40B7" w:rsidRDefault="00AA40B7" w:rsidP="00472126"/>
    <w:p w14:paraId="3E264499" w14:textId="77777777" w:rsidR="00AA40B7" w:rsidRDefault="00AA40B7" w:rsidP="00472126"/>
    <w:p w14:paraId="4E89980B" w14:textId="77777777" w:rsidR="0052201E" w:rsidRDefault="0052201E" w:rsidP="0027447C"/>
    <w:sectPr w:rsidR="005220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ACFA2" w14:textId="77777777" w:rsidR="00F8192C" w:rsidRDefault="00F8192C" w:rsidP="00C826DB">
      <w:pPr>
        <w:spacing w:after="0" w:line="240" w:lineRule="auto"/>
      </w:pPr>
      <w:r>
        <w:separator/>
      </w:r>
    </w:p>
  </w:endnote>
  <w:endnote w:type="continuationSeparator" w:id="0">
    <w:p w14:paraId="755C908F" w14:textId="77777777" w:rsidR="00F8192C" w:rsidRDefault="00F8192C" w:rsidP="00C82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01E04" w14:textId="77777777" w:rsidR="00F8192C" w:rsidRDefault="00F8192C" w:rsidP="00C826DB">
      <w:pPr>
        <w:spacing w:after="0" w:line="240" w:lineRule="auto"/>
      </w:pPr>
      <w:r>
        <w:separator/>
      </w:r>
    </w:p>
  </w:footnote>
  <w:footnote w:type="continuationSeparator" w:id="0">
    <w:p w14:paraId="1F77E579" w14:textId="77777777" w:rsidR="00F8192C" w:rsidRDefault="00F8192C" w:rsidP="00C826DB">
      <w:pPr>
        <w:spacing w:after="0" w:line="240" w:lineRule="auto"/>
      </w:pPr>
      <w:r>
        <w:continuationSeparator/>
      </w:r>
    </w:p>
  </w:footnote>
  <w:footnote w:id="1">
    <w:p w14:paraId="6B690337" w14:textId="77777777" w:rsidR="00AA40B7" w:rsidRPr="00AA40B7" w:rsidRDefault="00AA40B7" w:rsidP="00AA40B7">
      <w:pPr>
        <w:pStyle w:val="FootnoteText"/>
        <w:spacing w:after="240"/>
        <w:ind w:firstLine="720"/>
        <w:rPr>
          <w:rFonts w:asciiTheme="majorBidi" w:hAnsiTheme="majorBidi" w:cstheme="majorBidi"/>
        </w:rPr>
      </w:pPr>
      <w:r>
        <w:rPr>
          <w:rStyle w:val="FootnoteReference"/>
        </w:rPr>
        <w:footnoteRef/>
      </w:r>
      <w:r>
        <w:t xml:space="preserve"> </w:t>
      </w:r>
      <w:r w:rsidRPr="00AA40B7">
        <w:rPr>
          <w:rFonts w:asciiTheme="majorBidi" w:hAnsiTheme="majorBidi" w:cstheme="majorBidi"/>
        </w:rPr>
        <w:t xml:space="preserve">Unless otherwise noted, all biblical passages referenced are in the </w:t>
      </w:r>
      <w:r w:rsidRPr="00AA40B7">
        <w:rPr>
          <w:rFonts w:asciiTheme="majorBidi" w:hAnsiTheme="majorBidi" w:cstheme="majorBidi"/>
          <w:i/>
          <w:iCs/>
        </w:rPr>
        <w:t>New Living Translation</w:t>
      </w:r>
      <w:r w:rsidRPr="00AA40B7">
        <w:rPr>
          <w:rFonts w:asciiTheme="majorBidi" w:hAnsiTheme="majorBidi" w:cstheme="majorBidi"/>
        </w:rPr>
        <w:t xml:space="preserve"> (Wheaton, Ill: Tyndale House Publishers, 2004).</w:t>
      </w:r>
    </w:p>
  </w:footnote>
  <w:footnote w:id="2">
    <w:p w14:paraId="16FAEA52" w14:textId="77777777" w:rsidR="00AA40B7" w:rsidRPr="00AA40B7" w:rsidRDefault="00AA40B7" w:rsidP="00AA40B7">
      <w:pPr>
        <w:spacing w:after="240"/>
        <w:ind w:firstLine="720"/>
        <w:rPr>
          <w:rFonts w:asciiTheme="majorBidi" w:hAnsiTheme="majorBidi" w:cstheme="majorBidi"/>
          <w:sz w:val="20"/>
          <w:szCs w:val="20"/>
        </w:rPr>
      </w:pPr>
      <w:r w:rsidRPr="00AA40B7">
        <w:rPr>
          <w:rStyle w:val="FootnoteReference"/>
          <w:rFonts w:asciiTheme="majorBidi" w:hAnsiTheme="majorBidi" w:cstheme="majorBidi"/>
          <w:sz w:val="20"/>
          <w:szCs w:val="20"/>
        </w:rPr>
        <w:footnoteRef/>
      </w:r>
      <w:r w:rsidRPr="00AA40B7">
        <w:rPr>
          <w:rFonts w:asciiTheme="majorBidi" w:hAnsiTheme="majorBidi" w:cstheme="majorBidi"/>
          <w:sz w:val="20"/>
          <w:szCs w:val="20"/>
        </w:rPr>
        <w:t xml:space="preserve"> Timothy Paul Jones, </w:t>
      </w:r>
      <w:r w:rsidRPr="00AA40B7">
        <w:rPr>
          <w:rFonts w:asciiTheme="majorBidi" w:hAnsiTheme="majorBidi" w:cstheme="majorBidi"/>
          <w:i/>
          <w:iCs/>
          <w:sz w:val="20"/>
          <w:szCs w:val="20"/>
        </w:rPr>
        <w:t>Family Ministry Field Guide: How Your Church Can Equip Parents to Make Disciples</w:t>
      </w:r>
      <w:r w:rsidRPr="00AA40B7">
        <w:rPr>
          <w:rFonts w:asciiTheme="majorBidi" w:hAnsiTheme="majorBidi" w:cstheme="majorBidi"/>
          <w:sz w:val="20"/>
          <w:szCs w:val="20"/>
        </w:rPr>
        <w:t xml:space="preserve"> (Indianapolis, IN: Wesleyan Publishing House, 2011), 98.</w:t>
      </w:r>
    </w:p>
  </w:footnote>
  <w:footnote w:id="3">
    <w:p w14:paraId="7610657F" w14:textId="77777777" w:rsidR="00AA40B7" w:rsidRPr="00AA40B7" w:rsidRDefault="00AA40B7" w:rsidP="00AA40B7">
      <w:pPr>
        <w:pStyle w:val="FootnoteText"/>
        <w:spacing w:after="240"/>
        <w:ind w:firstLine="720"/>
        <w:rPr>
          <w:rFonts w:asciiTheme="majorBidi" w:hAnsiTheme="majorBidi" w:cstheme="majorBidi"/>
        </w:rPr>
      </w:pPr>
      <w:r w:rsidRPr="00AA40B7">
        <w:rPr>
          <w:rStyle w:val="FootnoteReference"/>
          <w:rFonts w:asciiTheme="majorBidi" w:hAnsiTheme="majorBidi" w:cstheme="majorBidi"/>
        </w:rPr>
        <w:footnoteRef/>
      </w:r>
      <w:r w:rsidRPr="00AA40B7">
        <w:rPr>
          <w:rFonts w:asciiTheme="majorBidi" w:hAnsiTheme="majorBidi" w:cstheme="majorBidi"/>
        </w:rPr>
        <w:t xml:space="preserve"> Ibid., 101.</w:t>
      </w:r>
    </w:p>
  </w:footnote>
  <w:footnote w:id="4">
    <w:p w14:paraId="06F16172" w14:textId="77777777" w:rsidR="00AA40B7" w:rsidRPr="00AA40B7" w:rsidRDefault="00AA40B7" w:rsidP="00AA40B7">
      <w:pPr>
        <w:pStyle w:val="FootnoteText"/>
        <w:ind w:firstLine="720"/>
        <w:rPr>
          <w:rFonts w:asciiTheme="majorBidi" w:hAnsiTheme="majorBidi" w:cstheme="majorBidi"/>
        </w:rPr>
      </w:pPr>
      <w:r w:rsidRPr="00AA40B7">
        <w:rPr>
          <w:rStyle w:val="FootnoteReference"/>
          <w:rFonts w:asciiTheme="majorBidi" w:hAnsiTheme="majorBidi" w:cstheme="majorBidi"/>
        </w:rPr>
        <w:footnoteRef/>
      </w:r>
      <w:r w:rsidRPr="00AA40B7">
        <w:rPr>
          <w:rFonts w:asciiTheme="majorBidi" w:hAnsiTheme="majorBidi" w:cstheme="majorBidi"/>
        </w:rPr>
        <w:t xml:space="preserve"> Aaron Gaston, “Creating Synergy in Student Ministry” (Course Video on YOUT 510 at Liberty University, Lynchburg, VA, Feb 2, 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25"/>
    <w:rsid w:val="00037764"/>
    <w:rsid w:val="00041122"/>
    <w:rsid w:val="000D6E9A"/>
    <w:rsid w:val="001A285F"/>
    <w:rsid w:val="0027447C"/>
    <w:rsid w:val="003424B1"/>
    <w:rsid w:val="00411F56"/>
    <w:rsid w:val="0041579C"/>
    <w:rsid w:val="00433CEE"/>
    <w:rsid w:val="00472126"/>
    <w:rsid w:val="00484377"/>
    <w:rsid w:val="0052201E"/>
    <w:rsid w:val="005B4125"/>
    <w:rsid w:val="006173FC"/>
    <w:rsid w:val="00647DF6"/>
    <w:rsid w:val="007A5A7B"/>
    <w:rsid w:val="00833F23"/>
    <w:rsid w:val="008779F9"/>
    <w:rsid w:val="008B7DAD"/>
    <w:rsid w:val="00986DFE"/>
    <w:rsid w:val="00A5291C"/>
    <w:rsid w:val="00AA40B7"/>
    <w:rsid w:val="00AD243F"/>
    <w:rsid w:val="00B81EE9"/>
    <w:rsid w:val="00B81EFF"/>
    <w:rsid w:val="00C6031D"/>
    <w:rsid w:val="00C6224A"/>
    <w:rsid w:val="00C826DB"/>
    <w:rsid w:val="00D862F1"/>
    <w:rsid w:val="00DA2E1B"/>
    <w:rsid w:val="00DA4D20"/>
    <w:rsid w:val="00F819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C292"/>
  <w15:chartTrackingRefBased/>
  <w15:docId w15:val="{0E5ADA1B-9BAE-4BA6-91CA-C2FC3DB6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826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26DB"/>
    <w:rPr>
      <w:sz w:val="20"/>
      <w:szCs w:val="20"/>
    </w:rPr>
  </w:style>
  <w:style w:type="character" w:styleId="FootnoteReference">
    <w:name w:val="footnote reference"/>
    <w:basedOn w:val="DefaultParagraphFont"/>
    <w:uiPriority w:val="99"/>
    <w:semiHidden/>
    <w:unhideWhenUsed/>
    <w:rsid w:val="00C826DB"/>
    <w:rPr>
      <w:vertAlign w:val="superscript"/>
    </w:rPr>
  </w:style>
  <w:style w:type="character" w:styleId="Hyperlink">
    <w:name w:val="Hyperlink"/>
    <w:basedOn w:val="DefaultParagraphFont"/>
    <w:uiPriority w:val="99"/>
    <w:semiHidden/>
    <w:unhideWhenUsed/>
    <w:rsid w:val="00472126"/>
    <w:rPr>
      <w:color w:val="0000FF"/>
      <w:u w:val="single"/>
    </w:rPr>
  </w:style>
  <w:style w:type="paragraph" w:styleId="NormalWeb">
    <w:name w:val="Normal (Web)"/>
    <w:basedOn w:val="Normal"/>
    <w:uiPriority w:val="99"/>
    <w:semiHidden/>
    <w:unhideWhenUsed/>
    <w:rsid w:val="00AA40B7"/>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214097">
      <w:bodyDiv w:val="1"/>
      <w:marLeft w:val="0"/>
      <w:marRight w:val="0"/>
      <w:marTop w:val="0"/>
      <w:marBottom w:val="0"/>
      <w:divBdr>
        <w:top w:val="none" w:sz="0" w:space="0" w:color="auto"/>
        <w:left w:val="none" w:sz="0" w:space="0" w:color="auto"/>
        <w:bottom w:val="none" w:sz="0" w:space="0" w:color="auto"/>
        <w:right w:val="none" w:sz="0" w:space="0" w:color="auto"/>
      </w:divBdr>
      <w:divsChild>
        <w:div w:id="618687461">
          <w:marLeft w:val="0"/>
          <w:marRight w:val="0"/>
          <w:marTop w:val="0"/>
          <w:marBottom w:val="0"/>
          <w:divBdr>
            <w:top w:val="none" w:sz="0" w:space="0" w:color="auto"/>
            <w:left w:val="none" w:sz="0" w:space="0" w:color="auto"/>
            <w:bottom w:val="none" w:sz="0" w:space="0" w:color="auto"/>
            <w:right w:val="none" w:sz="0" w:space="0" w:color="auto"/>
          </w:divBdr>
        </w:div>
        <w:div w:id="1679190725">
          <w:marLeft w:val="0"/>
          <w:marRight w:val="0"/>
          <w:marTop w:val="0"/>
          <w:marBottom w:val="0"/>
          <w:divBdr>
            <w:top w:val="none" w:sz="0" w:space="0" w:color="auto"/>
            <w:left w:val="none" w:sz="0" w:space="0" w:color="auto"/>
            <w:bottom w:val="none" w:sz="0" w:space="0" w:color="auto"/>
            <w:right w:val="none" w:sz="0" w:space="0" w:color="auto"/>
          </w:divBdr>
        </w:div>
      </w:divsChild>
    </w:div>
    <w:div w:id="207257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01D637B-6BA4-4630-80F0-81B1A4549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2022-02-02T18:32:00Z</dcterms:created>
  <dcterms:modified xsi:type="dcterms:W3CDTF">2022-02-02T22:06:00Z</dcterms:modified>
</cp:coreProperties>
</file>