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F6C5C8" w14:textId="77777777" w:rsidR="00C73639" w:rsidRPr="00010404" w:rsidRDefault="00C73639" w:rsidP="002753AC">
      <w:pPr>
        <w:shd w:val="clear" w:color="auto" w:fill="FFFFFF"/>
        <w:spacing w:after="0" w:line="420" w:lineRule="atLeast"/>
        <w:jc w:val="center"/>
        <w:outlineLvl w:val="0"/>
        <w:rPr>
          <w:rFonts w:asciiTheme="majorBidi" w:eastAsia="Times New Roman" w:hAnsiTheme="majorBidi" w:cstheme="majorBidi"/>
          <w:b/>
          <w:bCs/>
          <w:color w:val="222222"/>
          <w:kern w:val="36"/>
          <w:sz w:val="24"/>
          <w:szCs w:val="24"/>
          <w:lang w:bidi="he-IL"/>
        </w:rPr>
      </w:pPr>
      <w:r w:rsidRPr="00010404">
        <w:rPr>
          <w:rFonts w:asciiTheme="majorBidi" w:eastAsia="Times New Roman" w:hAnsiTheme="majorBidi" w:cstheme="majorBidi"/>
          <w:b/>
          <w:bCs/>
          <w:color w:val="222222"/>
          <w:kern w:val="36"/>
          <w:sz w:val="24"/>
          <w:szCs w:val="24"/>
          <w:lang w:bidi="he-IL"/>
        </w:rPr>
        <w:t>Discussion Thread: Strategy and Synergy</w:t>
      </w:r>
    </w:p>
    <w:p w14:paraId="1B0EC544" w14:textId="1A1B2E9B" w:rsidR="00997A7D" w:rsidRDefault="00997A7D" w:rsidP="00997A7D">
      <w:pPr>
        <w:pStyle w:val="NormalWeb"/>
        <w:spacing w:before="0" w:beforeAutospacing="0" w:after="0" w:afterAutospacing="0"/>
        <w:rPr>
          <w:color w:val="0E101A"/>
        </w:rPr>
      </w:pPr>
      <w:r>
        <w:rPr>
          <w:color w:val="0E101A"/>
        </w:rPr>
        <w:t>The Cambridge Dictionary defines synergy as the combined power of a group of things when they are working together that is greater than the total power achieved by each working separately.</w:t>
      </w:r>
      <w:r w:rsidRPr="00010404">
        <w:rPr>
          <w:rStyle w:val="FootnoteReference"/>
          <w:rFonts w:asciiTheme="majorBidi" w:hAnsiTheme="majorBidi" w:cstheme="majorBidi"/>
        </w:rPr>
        <w:footnoteReference w:id="1"/>
      </w:r>
      <w:r>
        <w:rPr>
          <w:color w:val="0E101A"/>
        </w:rPr>
        <w:t> Therefore, as per the definition, creating synergy in the youth ministry means bringing together all the partners (students, parents, youth pastors, etc.) to accomplish given tasks. Some of these tasks could include praying, studying the Bible, or ministering together. I liken youth ministry to a human body. The various partners are the parts of that body. For this body to work optimally, every membe</w:t>
      </w:r>
      <w:r>
        <w:rPr>
          <w:color w:val="0E101A"/>
        </w:rPr>
        <w:t>r</w:t>
      </w:r>
      <w:r>
        <w:rPr>
          <w:color w:val="0E101A"/>
        </w:rPr>
        <w:t xml:space="preserve"> must function as intended. This is to say, the eyes should see for the body, the nose must smell for the body, the ears must hear for the body, and so forth. An interesting bit about this is that each part is equally important. The Apostle Paul says, “The eye cannot say to the hand, “I don’t need you!” And the head cannot say to the feet, “I don’t need you!” (1 Cor 12:21, NIV).</w:t>
      </w:r>
      <w:r>
        <w:rPr>
          <w:rStyle w:val="FootnoteReference"/>
          <w:rFonts w:asciiTheme="majorBidi" w:hAnsiTheme="majorBidi" w:cstheme="majorBidi"/>
          <w:color w:val="000000"/>
          <w:shd w:val="clear" w:color="auto" w:fill="FFFFFF"/>
        </w:rPr>
        <w:footnoteReference w:id="2"/>
      </w:r>
      <w:r>
        <w:rPr>
          <w:color w:val="0E101A"/>
        </w:rPr>
        <w:t> Likewise, for the youth ministry to achieve its intended outcome, every partner must not only be involved but must do their part. The parents must be involved, and the church must equip the parents. </w:t>
      </w:r>
    </w:p>
    <w:p w14:paraId="20B2776E" w14:textId="77777777" w:rsidR="00997A7D" w:rsidRDefault="00997A7D" w:rsidP="00997A7D">
      <w:pPr>
        <w:pStyle w:val="NormalWeb"/>
        <w:spacing w:before="0" w:beforeAutospacing="0" w:after="0" w:afterAutospacing="0"/>
        <w:rPr>
          <w:color w:val="0E101A"/>
        </w:rPr>
      </w:pPr>
      <w:r>
        <w:rPr>
          <w:color w:val="0E101A"/>
        </w:rPr>
        <w:t>A few years ago, my church leadership asked me to serve as a youth pastor in one of its city branches. I remember the church did not have youths. Nearly 80% of the congregation were old or retired. For a church that believes in posterity, something had to be done. Upon several deliberations, as a pastorate, we asked ourselves one question: Where do we find youths? The answer was in schools and colleges. </w:t>
      </w:r>
    </w:p>
    <w:p w14:paraId="799C7380" w14:textId="77777777" w:rsidR="00997A7D" w:rsidRDefault="00997A7D" w:rsidP="00997A7D">
      <w:pPr>
        <w:pStyle w:val="NormalWeb"/>
        <w:spacing w:before="0" w:beforeAutospacing="0" w:after="0" w:afterAutospacing="0"/>
        <w:rPr>
          <w:color w:val="0E101A"/>
        </w:rPr>
      </w:pPr>
      <w:r>
        <w:rPr>
          <w:color w:val="0E101A"/>
        </w:rPr>
        <w:t>Thus, we started by going to campuses. The idea was that since students had only four years on campus if we developed meaningful relationships with them after they had graduated, they would join our church as they continued being discipled. Amazingly, that’s what happened. In two years, our church congregation dynamics changed. Many young people joined our church, and the older people became the minority.</w:t>
      </w:r>
    </w:p>
    <w:p w14:paraId="0207ECB7" w14:textId="1D0B5A1A" w:rsidR="00997A7D" w:rsidRDefault="00997A7D" w:rsidP="00997A7D">
      <w:pPr>
        <w:pStyle w:val="NormalWeb"/>
        <w:spacing w:before="0" w:beforeAutospacing="0" w:after="0" w:afterAutospacing="0"/>
        <w:rPr>
          <w:color w:val="0E101A"/>
        </w:rPr>
      </w:pPr>
      <w:r>
        <w:rPr>
          <w:color w:val="0E101A"/>
        </w:rPr>
        <w:t>Currently, I serve as a missionary in a small village. Most local churches here do not have a plan for the youths. Apart from Sunday service, there is hardly anything that happens. Only women meet on Thursdays. For the last few months, I have been trying to help the pastor and the parents to see the need for having youth activities in the church. Bringing them on board has not been easy, but it is something that I am willing to try. Aaron Gaston said we should encourage parents to be intentional parents.</w:t>
      </w:r>
      <w:r w:rsidRPr="00010404">
        <w:rPr>
          <w:rStyle w:val="FootnoteReference"/>
          <w:rFonts w:asciiTheme="majorBidi" w:hAnsiTheme="majorBidi" w:cstheme="majorBidi"/>
        </w:rPr>
        <w:footnoteReference w:id="3"/>
      </w:r>
      <w:r>
        <w:rPr>
          <w:color w:val="0E101A"/>
        </w:rPr>
        <w:t xml:space="preserve"> If the parents can help me insist to the pastor, I think we can have an effective youth ministry. Another way I can combine synergy and strategy in planning and executing youth ministry is by asking parents to get involved in the activities that we would undertake. For instance, using the model of the city church I used to pastor, we can involve parents in school outreaches. With the pastor's help, we can train these parents to prepare and execute lessons. Once we have equipped the </w:t>
      </w:r>
      <w:r w:rsidRPr="00997A7D">
        <w:rPr>
          <w:color w:val="0E101A"/>
        </w:rPr>
        <w:t>parents, we can send them to schools to teach the word of God.</w:t>
      </w:r>
    </w:p>
    <w:p w14:paraId="306E5554" w14:textId="13C7CEBA" w:rsidR="002B3813" w:rsidRPr="00010404" w:rsidRDefault="002B3813">
      <w:pPr>
        <w:rPr>
          <w:rFonts w:asciiTheme="majorBidi" w:hAnsiTheme="majorBidi" w:cstheme="majorBidi"/>
          <w:sz w:val="24"/>
          <w:szCs w:val="24"/>
        </w:rPr>
      </w:pPr>
    </w:p>
    <w:p w14:paraId="05BA7407" w14:textId="77777777" w:rsidR="00997A7D" w:rsidRDefault="00997A7D" w:rsidP="00494CF1">
      <w:pPr>
        <w:rPr>
          <w:rFonts w:asciiTheme="majorBidi" w:hAnsiTheme="majorBidi" w:cstheme="majorBidi"/>
          <w:sz w:val="24"/>
          <w:szCs w:val="24"/>
        </w:rPr>
      </w:pPr>
    </w:p>
    <w:p w14:paraId="2D44BD9A" w14:textId="77777777" w:rsidR="00997A7D" w:rsidRDefault="00997A7D" w:rsidP="00494CF1">
      <w:pPr>
        <w:rPr>
          <w:rFonts w:asciiTheme="majorBidi" w:hAnsiTheme="majorBidi" w:cstheme="majorBidi"/>
          <w:sz w:val="24"/>
          <w:szCs w:val="24"/>
        </w:rPr>
      </w:pPr>
    </w:p>
    <w:p w14:paraId="5A73163A" w14:textId="6D40CB4B" w:rsidR="00E37333" w:rsidRPr="00010404" w:rsidRDefault="00A750B9" w:rsidP="001D72F9">
      <w:pPr>
        <w:rPr>
          <w:rFonts w:asciiTheme="majorBidi" w:hAnsiTheme="majorBidi" w:cstheme="majorBidi"/>
          <w:sz w:val="24"/>
          <w:szCs w:val="24"/>
        </w:rPr>
      </w:pPr>
      <w:r w:rsidRPr="00010404">
        <w:rPr>
          <w:rFonts w:asciiTheme="majorBidi" w:hAnsiTheme="majorBidi" w:cstheme="majorBidi"/>
          <w:sz w:val="24"/>
          <w:szCs w:val="24"/>
        </w:rPr>
        <w:t xml:space="preserve"> </w:t>
      </w:r>
    </w:p>
    <w:sectPr w:rsidR="00E37333" w:rsidRPr="0001040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9F9F8" w14:textId="77777777" w:rsidR="00D3744E" w:rsidRDefault="00D3744E" w:rsidP="00333B07">
      <w:pPr>
        <w:spacing w:after="0" w:line="240" w:lineRule="auto"/>
      </w:pPr>
      <w:r>
        <w:separator/>
      </w:r>
    </w:p>
  </w:endnote>
  <w:endnote w:type="continuationSeparator" w:id="0">
    <w:p w14:paraId="1EF88A47" w14:textId="77777777" w:rsidR="00D3744E" w:rsidRDefault="00D3744E" w:rsidP="00333B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4585B3" w14:textId="77777777" w:rsidR="00D3744E" w:rsidRDefault="00D3744E" w:rsidP="00333B07">
      <w:pPr>
        <w:spacing w:after="0" w:line="240" w:lineRule="auto"/>
      </w:pPr>
      <w:r>
        <w:separator/>
      </w:r>
    </w:p>
  </w:footnote>
  <w:footnote w:type="continuationSeparator" w:id="0">
    <w:p w14:paraId="3AF7EC96" w14:textId="77777777" w:rsidR="00D3744E" w:rsidRDefault="00D3744E" w:rsidP="00333B07">
      <w:pPr>
        <w:spacing w:after="0" w:line="240" w:lineRule="auto"/>
      </w:pPr>
      <w:r>
        <w:continuationSeparator/>
      </w:r>
    </w:p>
  </w:footnote>
  <w:footnote w:id="1">
    <w:p w14:paraId="2ED1F1F1" w14:textId="77777777" w:rsidR="00997A7D" w:rsidRPr="00010404" w:rsidRDefault="00997A7D" w:rsidP="00997A7D">
      <w:pPr>
        <w:pStyle w:val="FootnoteText"/>
        <w:spacing w:after="240"/>
        <w:ind w:firstLine="720"/>
        <w:rPr>
          <w:rFonts w:asciiTheme="majorBidi" w:hAnsiTheme="majorBidi" w:cstheme="majorBidi"/>
        </w:rPr>
      </w:pPr>
      <w:r>
        <w:rPr>
          <w:rStyle w:val="FootnoteReference"/>
        </w:rPr>
        <w:footnoteRef/>
      </w:r>
      <w:r>
        <w:t xml:space="preserve"> </w:t>
      </w:r>
      <w:r w:rsidRPr="000E4BEC">
        <w:rPr>
          <w:rFonts w:asciiTheme="majorBidi" w:hAnsiTheme="majorBidi" w:cstheme="majorBidi"/>
          <w:i/>
          <w:iCs/>
        </w:rPr>
        <w:t>Cambridge Dictionary</w:t>
      </w:r>
      <w:r w:rsidRPr="000E4BEC">
        <w:rPr>
          <w:rFonts w:asciiTheme="majorBidi" w:hAnsiTheme="majorBidi" w:cstheme="majorBidi"/>
        </w:rPr>
        <w:t xml:space="preserve">, </w:t>
      </w:r>
      <w:proofErr w:type="spellStart"/>
      <w:r>
        <w:rPr>
          <w:rFonts w:asciiTheme="majorBidi" w:hAnsiTheme="majorBidi" w:cstheme="majorBidi"/>
        </w:rPr>
        <w:t>s.v</w:t>
      </w:r>
      <w:r w:rsidRPr="000E4BEC">
        <w:rPr>
          <w:rFonts w:asciiTheme="majorBidi" w:hAnsiTheme="majorBidi" w:cstheme="majorBidi"/>
        </w:rPr>
        <w:t>.</w:t>
      </w:r>
      <w:proofErr w:type="spellEnd"/>
      <w:r w:rsidRPr="000E4BEC">
        <w:rPr>
          <w:rFonts w:asciiTheme="majorBidi" w:hAnsiTheme="majorBidi" w:cstheme="majorBidi"/>
        </w:rPr>
        <w:t xml:space="preserve"> “synergy (n.),” accessed February 16, 2022, https://dictionary.cambridge.org/dictionary/learner-english/synergy</w:t>
      </w:r>
    </w:p>
  </w:footnote>
  <w:footnote w:id="2">
    <w:p w14:paraId="3A009905" w14:textId="77777777" w:rsidR="00997A7D" w:rsidRDefault="00997A7D" w:rsidP="00997A7D">
      <w:pPr>
        <w:pStyle w:val="FootnoteText"/>
        <w:spacing w:after="240"/>
        <w:ind w:firstLine="720"/>
      </w:pPr>
      <w:r>
        <w:rPr>
          <w:rStyle w:val="FootnoteReference"/>
        </w:rPr>
        <w:footnoteRef/>
      </w:r>
      <w:r>
        <w:t xml:space="preserve"> </w:t>
      </w:r>
      <w:r w:rsidRPr="00AA40B7">
        <w:rPr>
          <w:rFonts w:asciiTheme="majorBidi" w:hAnsiTheme="majorBidi" w:cstheme="majorBidi"/>
        </w:rPr>
        <w:t xml:space="preserve">Unless otherwise noted, all biblical passages referenced are in the </w:t>
      </w:r>
      <w:r w:rsidRPr="00AA40B7">
        <w:rPr>
          <w:rFonts w:asciiTheme="majorBidi" w:hAnsiTheme="majorBidi" w:cstheme="majorBidi"/>
          <w:i/>
          <w:iCs/>
        </w:rPr>
        <w:t>New Living Translation</w:t>
      </w:r>
      <w:r w:rsidRPr="00AA40B7">
        <w:rPr>
          <w:rFonts w:asciiTheme="majorBidi" w:hAnsiTheme="majorBidi" w:cstheme="majorBidi"/>
        </w:rPr>
        <w:t xml:space="preserve"> (Wheaton, Ill: Tyndale House Publishers, 2004).</w:t>
      </w:r>
    </w:p>
  </w:footnote>
  <w:footnote w:id="3">
    <w:p w14:paraId="520CD9B5" w14:textId="77777777" w:rsidR="00997A7D" w:rsidRPr="00010404" w:rsidRDefault="00997A7D" w:rsidP="00997A7D">
      <w:pPr>
        <w:pStyle w:val="FootnoteText"/>
        <w:spacing w:after="240"/>
        <w:ind w:firstLine="720"/>
        <w:rPr>
          <w:rFonts w:asciiTheme="majorBidi" w:hAnsiTheme="majorBidi" w:cstheme="majorBidi"/>
        </w:rPr>
      </w:pPr>
      <w:r w:rsidRPr="00010404">
        <w:rPr>
          <w:rStyle w:val="FootnoteReference"/>
          <w:rFonts w:asciiTheme="majorBidi" w:hAnsiTheme="majorBidi" w:cstheme="majorBidi"/>
        </w:rPr>
        <w:footnoteRef/>
      </w:r>
      <w:r w:rsidRPr="00010404">
        <w:rPr>
          <w:rFonts w:asciiTheme="majorBidi" w:hAnsiTheme="majorBidi" w:cstheme="majorBidi"/>
        </w:rPr>
        <w:t xml:space="preserve"> Aaron Gaston, “Cementing the Partnership” (Course Video on YOUT 510 at Liberty University, Lynchburg, VA, Feb 16, 2022).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639"/>
    <w:rsid w:val="00010404"/>
    <w:rsid w:val="00027D0C"/>
    <w:rsid w:val="000E4BEC"/>
    <w:rsid w:val="001D72F9"/>
    <w:rsid w:val="002753AC"/>
    <w:rsid w:val="002B3813"/>
    <w:rsid w:val="00333B07"/>
    <w:rsid w:val="00494CF1"/>
    <w:rsid w:val="004A441B"/>
    <w:rsid w:val="005A7D53"/>
    <w:rsid w:val="00997A7D"/>
    <w:rsid w:val="00A750B9"/>
    <w:rsid w:val="00C73639"/>
    <w:rsid w:val="00D3744E"/>
    <w:rsid w:val="00DA125F"/>
    <w:rsid w:val="00DB738F"/>
    <w:rsid w:val="00E373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66A87"/>
  <w15:chartTrackingRefBased/>
  <w15:docId w15:val="{9ED26A96-E900-46E7-8B65-B3CD7A278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73639"/>
    <w:pPr>
      <w:spacing w:before="100" w:beforeAutospacing="1" w:after="100" w:afterAutospacing="1" w:line="240" w:lineRule="auto"/>
      <w:outlineLvl w:val="0"/>
    </w:pPr>
    <w:rPr>
      <w:rFonts w:ascii="Times New Roman" w:eastAsia="Times New Roman" w:hAnsi="Times New Roman" w:cs="Times New Roman"/>
      <w:b/>
      <w:bCs/>
      <w:kern w:val="36"/>
      <w:sz w:val="48"/>
      <w:szCs w:val="48"/>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3639"/>
    <w:rPr>
      <w:rFonts w:ascii="Times New Roman" w:eastAsia="Times New Roman" w:hAnsi="Times New Roman" w:cs="Times New Roman"/>
      <w:b/>
      <w:bCs/>
      <w:kern w:val="36"/>
      <w:sz w:val="48"/>
      <w:szCs w:val="48"/>
      <w:lang w:bidi="he-IL"/>
    </w:rPr>
  </w:style>
  <w:style w:type="paragraph" w:styleId="FootnoteText">
    <w:name w:val="footnote text"/>
    <w:basedOn w:val="Normal"/>
    <w:link w:val="FootnoteTextChar"/>
    <w:uiPriority w:val="99"/>
    <w:semiHidden/>
    <w:unhideWhenUsed/>
    <w:rsid w:val="00333B0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33B07"/>
    <w:rPr>
      <w:sz w:val="20"/>
      <w:szCs w:val="20"/>
    </w:rPr>
  </w:style>
  <w:style w:type="character" w:styleId="FootnoteReference">
    <w:name w:val="footnote reference"/>
    <w:basedOn w:val="DefaultParagraphFont"/>
    <w:uiPriority w:val="99"/>
    <w:semiHidden/>
    <w:unhideWhenUsed/>
    <w:rsid w:val="00333B07"/>
    <w:rPr>
      <w:vertAlign w:val="superscript"/>
    </w:rPr>
  </w:style>
  <w:style w:type="paragraph" w:styleId="NormalWeb">
    <w:name w:val="Normal (Web)"/>
    <w:basedOn w:val="Normal"/>
    <w:uiPriority w:val="99"/>
    <w:semiHidden/>
    <w:unhideWhenUsed/>
    <w:rsid w:val="00997A7D"/>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Hyperlink">
    <w:name w:val="Hyperlink"/>
    <w:basedOn w:val="DefaultParagraphFont"/>
    <w:uiPriority w:val="99"/>
    <w:semiHidden/>
    <w:unhideWhenUsed/>
    <w:rsid w:val="00997A7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28274">
      <w:bodyDiv w:val="1"/>
      <w:marLeft w:val="0"/>
      <w:marRight w:val="0"/>
      <w:marTop w:val="0"/>
      <w:marBottom w:val="0"/>
      <w:divBdr>
        <w:top w:val="none" w:sz="0" w:space="0" w:color="auto"/>
        <w:left w:val="none" w:sz="0" w:space="0" w:color="auto"/>
        <w:bottom w:val="none" w:sz="0" w:space="0" w:color="auto"/>
        <w:right w:val="none" w:sz="0" w:space="0" w:color="auto"/>
      </w:divBdr>
    </w:div>
    <w:div w:id="1628462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E61F033A-97BA-4918-8F63-CC767C818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2</Pages>
  <Words>462</Words>
  <Characters>2638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2</cp:revision>
  <dcterms:created xsi:type="dcterms:W3CDTF">2022-02-16T19:23:00Z</dcterms:created>
  <dcterms:modified xsi:type="dcterms:W3CDTF">2022-02-17T20:37:00Z</dcterms:modified>
</cp:coreProperties>
</file>